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colors6.xml" ContentType="application/vnd.ms-office.chartcolorstyle+xml"/>
  <Override PartName="/word/charts/colors7.xml" ContentType="application/vnd.ms-office.chartcolorstyle+xml"/>
  <Override PartName="/word/charts/colors8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charts/style6.xml" ContentType="application/vnd.ms-office.chartstyle+xml"/>
  <Override PartName="/word/charts/style7.xml" ContentType="application/vnd.ms-office.chartstyle+xml"/>
  <Override PartName="/word/charts/style8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35D15">
      <w:pPr>
        <w:spacing w:line="360" w:lineRule="auto"/>
        <w:ind w:left="-525" w:leftChars="-250" w:right="-525" w:rightChars="-250"/>
        <w:jc w:val="center"/>
        <w:outlineLvl w:val="0"/>
        <w:rPr>
          <w:rFonts w:ascii="宋体" w:hAnsi="宋体" w:cs="宋体"/>
          <w:sz w:val="56"/>
          <w:szCs w:val="56"/>
        </w:rPr>
      </w:pPr>
      <w:bookmarkStart w:id="0" w:name="_Toc6975"/>
      <w:r>
        <w:rPr>
          <w:rFonts w:hint="eastAsia" w:ascii="宋体" w:hAnsi="宋体" w:cs="宋体"/>
          <w:sz w:val="56"/>
          <w:szCs w:val="56"/>
          <w:lang w:val="en-US" w:eastAsia="zh-Hans"/>
        </w:rPr>
        <w:t>下沙街道</w:t>
      </w:r>
      <w:r>
        <w:rPr>
          <w:rFonts w:hint="default" w:ascii="宋体" w:hAnsi="宋体" w:cs="宋体"/>
          <w:sz w:val="56"/>
          <w:szCs w:val="56"/>
          <w:lang w:eastAsia="zh-Hans"/>
        </w:rPr>
        <w:t>202</w:t>
      </w:r>
      <w:r>
        <w:rPr>
          <w:rFonts w:hint="eastAsia" w:ascii="宋体" w:hAnsi="宋体" w:cs="宋体"/>
          <w:sz w:val="56"/>
          <w:szCs w:val="56"/>
          <w:lang w:val="en-US" w:eastAsia="zh-CN"/>
        </w:rPr>
        <w:t>4</w:t>
      </w:r>
      <w:r>
        <w:rPr>
          <w:rFonts w:hint="eastAsia" w:ascii="宋体" w:hAnsi="宋体" w:cs="宋体"/>
          <w:sz w:val="56"/>
          <w:szCs w:val="56"/>
          <w:lang w:val="en-US" w:eastAsia="zh-Hans"/>
        </w:rPr>
        <w:t>年</w:t>
      </w:r>
      <w:r>
        <w:rPr>
          <w:rFonts w:hint="eastAsia" w:ascii="宋体" w:hAnsi="宋体" w:cs="宋体"/>
          <w:sz w:val="56"/>
          <w:szCs w:val="56"/>
        </w:rPr>
        <w:t>公益创投项目</w:t>
      </w:r>
      <w:bookmarkEnd w:id="0"/>
    </w:p>
    <w:p w14:paraId="4BE2E797">
      <w:pPr>
        <w:spacing w:line="360" w:lineRule="auto"/>
        <w:jc w:val="center"/>
        <w:rPr>
          <w:rFonts w:ascii="宋体" w:hAnsi="宋体" w:cs="宋体"/>
          <w:sz w:val="56"/>
          <w:szCs w:val="56"/>
        </w:rPr>
      </w:pPr>
    </w:p>
    <w:p w14:paraId="51E243C1">
      <w:pPr>
        <w:pStyle w:val="5"/>
      </w:pPr>
    </w:p>
    <w:p w14:paraId="3DD91B6D">
      <w:pPr>
        <w:spacing w:line="360" w:lineRule="auto"/>
        <w:jc w:val="center"/>
        <w:outlineLvl w:val="0"/>
        <w:rPr>
          <w:rFonts w:hint="eastAsia" w:ascii="宋体" w:hAnsi="宋体" w:eastAsia="宋体" w:cs="宋体"/>
          <w:sz w:val="56"/>
          <w:szCs w:val="56"/>
          <w:lang w:val="en-US" w:eastAsia="zh-CN"/>
        </w:rPr>
      </w:pPr>
      <w:bookmarkStart w:id="1" w:name="_Toc16619"/>
      <w:r>
        <w:rPr>
          <w:rFonts w:hint="eastAsia" w:ascii="宋体" w:hAnsi="宋体" w:cs="宋体"/>
          <w:sz w:val="56"/>
          <w:szCs w:val="56"/>
          <w:lang w:val="en-US" w:eastAsia="zh-CN"/>
        </w:rPr>
        <w:t>末</w:t>
      </w:r>
      <w:bookmarkEnd w:id="1"/>
    </w:p>
    <w:p w14:paraId="4B797E2A">
      <w:pPr>
        <w:spacing w:line="360" w:lineRule="auto"/>
        <w:jc w:val="center"/>
        <w:outlineLvl w:val="0"/>
        <w:rPr>
          <w:rFonts w:ascii="宋体" w:hAnsi="宋体" w:cs="宋体"/>
          <w:sz w:val="56"/>
          <w:szCs w:val="56"/>
        </w:rPr>
      </w:pPr>
      <w:bookmarkStart w:id="2" w:name="_Toc8016"/>
      <w:r>
        <w:rPr>
          <w:rFonts w:hint="eastAsia" w:ascii="宋体" w:hAnsi="宋体" w:cs="宋体"/>
          <w:sz w:val="56"/>
          <w:szCs w:val="56"/>
        </w:rPr>
        <w:t>期</w:t>
      </w:r>
      <w:bookmarkEnd w:id="2"/>
    </w:p>
    <w:p w14:paraId="1445D273">
      <w:pPr>
        <w:spacing w:line="360" w:lineRule="auto"/>
        <w:jc w:val="center"/>
        <w:outlineLvl w:val="0"/>
        <w:rPr>
          <w:rFonts w:ascii="宋体" w:hAnsi="宋体" w:cs="宋体"/>
          <w:sz w:val="56"/>
          <w:szCs w:val="56"/>
        </w:rPr>
      </w:pPr>
      <w:bookmarkStart w:id="3" w:name="_Toc5140"/>
      <w:r>
        <w:rPr>
          <w:rFonts w:hint="eastAsia" w:ascii="宋体" w:hAnsi="宋体" w:cs="宋体"/>
          <w:sz w:val="56"/>
          <w:szCs w:val="56"/>
        </w:rPr>
        <w:t>评</w:t>
      </w:r>
      <w:bookmarkEnd w:id="3"/>
    </w:p>
    <w:p w14:paraId="7F8DC669">
      <w:pPr>
        <w:spacing w:line="360" w:lineRule="auto"/>
        <w:jc w:val="center"/>
        <w:outlineLvl w:val="0"/>
        <w:rPr>
          <w:rFonts w:ascii="宋体" w:hAnsi="宋体" w:cs="宋体"/>
          <w:sz w:val="56"/>
          <w:szCs w:val="56"/>
        </w:rPr>
      </w:pPr>
      <w:bookmarkStart w:id="4" w:name="_Toc21605"/>
      <w:r>
        <w:rPr>
          <w:rFonts w:hint="eastAsia" w:ascii="宋体" w:hAnsi="宋体" w:cs="宋体"/>
          <w:sz w:val="56"/>
          <w:szCs w:val="56"/>
        </w:rPr>
        <w:t>估</w:t>
      </w:r>
      <w:bookmarkEnd w:id="4"/>
    </w:p>
    <w:p w14:paraId="39AB1964">
      <w:pPr>
        <w:spacing w:line="360" w:lineRule="auto"/>
        <w:jc w:val="center"/>
        <w:outlineLvl w:val="0"/>
        <w:rPr>
          <w:rFonts w:ascii="宋体" w:hAnsi="宋体" w:cs="宋体"/>
          <w:sz w:val="56"/>
          <w:szCs w:val="56"/>
        </w:rPr>
      </w:pPr>
      <w:bookmarkStart w:id="5" w:name="_Toc7565"/>
      <w:r>
        <w:rPr>
          <w:rFonts w:hint="eastAsia" w:ascii="宋体" w:hAnsi="宋体" w:cs="宋体"/>
          <w:sz w:val="56"/>
          <w:szCs w:val="56"/>
        </w:rPr>
        <w:t>报</w:t>
      </w:r>
      <w:bookmarkEnd w:id="5"/>
    </w:p>
    <w:p w14:paraId="6EE1A5EF">
      <w:pPr>
        <w:spacing w:line="360" w:lineRule="auto"/>
        <w:jc w:val="center"/>
        <w:rPr>
          <w:rFonts w:ascii="宋体" w:hAnsi="宋体" w:cs="宋体"/>
          <w:sz w:val="56"/>
          <w:szCs w:val="56"/>
        </w:rPr>
      </w:pPr>
      <w:r>
        <w:rPr>
          <w:rFonts w:hint="eastAsia" w:ascii="宋体" w:hAnsi="宋体" w:cs="宋体"/>
          <w:sz w:val="56"/>
          <w:szCs w:val="56"/>
        </w:rPr>
        <w:t>告</w:t>
      </w:r>
    </w:p>
    <w:p w14:paraId="3B8FB5A4">
      <w:pPr>
        <w:spacing w:line="400" w:lineRule="exact"/>
        <w:rPr>
          <w:rFonts w:ascii="宋体" w:hAnsi="宋体" w:cs="宋体"/>
          <w:sz w:val="24"/>
          <w:szCs w:val="24"/>
        </w:rPr>
      </w:pPr>
    </w:p>
    <w:p w14:paraId="392A7681">
      <w:pPr>
        <w:spacing w:line="400" w:lineRule="exact"/>
        <w:jc w:val="center"/>
        <w:rPr>
          <w:rFonts w:ascii="宋体" w:hAnsi="宋体" w:cs="宋体"/>
          <w:sz w:val="24"/>
          <w:szCs w:val="24"/>
        </w:rPr>
      </w:pPr>
    </w:p>
    <w:p w14:paraId="20E39DD6">
      <w:pPr>
        <w:spacing w:line="400" w:lineRule="exact"/>
        <w:jc w:val="center"/>
        <w:rPr>
          <w:rFonts w:ascii="宋体" w:hAnsi="宋体" w:cs="宋体"/>
          <w:sz w:val="24"/>
          <w:szCs w:val="24"/>
        </w:rPr>
      </w:pPr>
    </w:p>
    <w:p w14:paraId="33539888">
      <w:pPr>
        <w:spacing w:line="400" w:lineRule="exact"/>
        <w:rPr>
          <w:rFonts w:ascii="宋体" w:hAnsi="宋体" w:cs="宋体"/>
          <w:sz w:val="24"/>
          <w:szCs w:val="24"/>
        </w:rPr>
      </w:pPr>
    </w:p>
    <w:p w14:paraId="099913E0">
      <w:pPr>
        <w:pStyle w:val="6"/>
        <w:rPr>
          <w:rFonts w:ascii="宋体" w:hAnsi="宋体" w:cs="宋体"/>
          <w:sz w:val="24"/>
          <w:szCs w:val="24"/>
        </w:rPr>
      </w:pPr>
    </w:p>
    <w:p w14:paraId="1F99E888">
      <w:pPr>
        <w:pStyle w:val="6"/>
        <w:rPr>
          <w:rFonts w:ascii="宋体" w:hAnsi="宋体" w:cs="宋体"/>
          <w:sz w:val="24"/>
          <w:szCs w:val="24"/>
        </w:rPr>
      </w:pPr>
    </w:p>
    <w:p w14:paraId="7550C429">
      <w:pPr>
        <w:pStyle w:val="6"/>
        <w:rPr>
          <w:rFonts w:ascii="宋体" w:hAnsi="宋体" w:cs="宋体"/>
          <w:sz w:val="24"/>
          <w:szCs w:val="24"/>
        </w:rPr>
      </w:pPr>
    </w:p>
    <w:p w14:paraId="5D17E986">
      <w:pPr>
        <w:spacing w:line="400" w:lineRule="exact"/>
        <w:rPr>
          <w:rFonts w:ascii="宋体" w:hAnsi="宋体" w:cs="宋体"/>
          <w:sz w:val="24"/>
          <w:szCs w:val="24"/>
        </w:rPr>
      </w:pPr>
    </w:p>
    <w:p w14:paraId="56F82476">
      <w:pPr>
        <w:spacing w:line="360" w:lineRule="auto"/>
        <w:jc w:val="center"/>
        <w:outlineLvl w:val="0"/>
        <w:rPr>
          <w:rFonts w:ascii="宋体" w:hAnsi="宋体" w:cs="宋体"/>
          <w:sz w:val="32"/>
          <w:szCs w:val="32"/>
        </w:rPr>
      </w:pPr>
      <w:bookmarkStart w:id="6" w:name="_Toc664"/>
      <w:r>
        <w:rPr>
          <w:rFonts w:hint="eastAsia" w:ascii="宋体" w:hAnsi="宋体" w:cs="宋体"/>
          <w:sz w:val="32"/>
          <w:szCs w:val="32"/>
        </w:rPr>
        <w:t>杭州市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拱墅</w:t>
      </w:r>
      <w:r>
        <w:rPr>
          <w:rFonts w:hint="eastAsia" w:ascii="宋体" w:hAnsi="宋体" w:cs="宋体"/>
          <w:sz w:val="32"/>
          <w:szCs w:val="32"/>
        </w:rPr>
        <w:t>区乐助公益发展中心</w:t>
      </w:r>
      <w:bookmarkEnd w:id="6"/>
    </w:p>
    <w:p w14:paraId="5EF5BA19"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</w:rPr>
        <w:t>月</w:t>
      </w:r>
    </w:p>
    <w:p w14:paraId="6315B8AB">
      <w:pPr>
        <w:spacing w:line="400" w:lineRule="exact"/>
        <w:jc w:val="center"/>
        <w:rPr>
          <w:rFonts w:ascii="宋体" w:hAnsi="宋体" w:cs="宋体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2098" w:right="1361" w:bottom="1418" w:left="1588" w:header="851" w:footer="992" w:gutter="28"/>
          <w:pgNumType w:fmt="numberInDash"/>
          <w:cols w:space="720" w:num="1"/>
          <w:docGrid w:type="lines" w:linePitch="312" w:charSpace="0"/>
        </w:sectPr>
      </w:pPr>
    </w:p>
    <w:p w14:paraId="576A9405">
      <w:pPr>
        <w:pStyle w:val="2"/>
        <w:ind w:left="0" w:leftChars="0" w:firstLine="0" w:firstLineChars="0"/>
        <w:jc w:val="center"/>
        <w:rPr>
          <w:rFonts w:hint="eastAsia"/>
          <w:sz w:val="32"/>
          <w:szCs w:val="40"/>
        </w:rPr>
      </w:pPr>
      <w:bookmarkStart w:id="7" w:name="_Toc2654"/>
      <w:r>
        <w:rPr>
          <w:rFonts w:hint="eastAsia"/>
          <w:sz w:val="32"/>
          <w:szCs w:val="40"/>
        </w:rPr>
        <w:t xml:space="preserve">第一部分  </w:t>
      </w:r>
      <w:r>
        <w:rPr>
          <w:rFonts w:hint="eastAsia"/>
          <w:sz w:val="32"/>
          <w:szCs w:val="40"/>
          <w:lang w:val="en-US" w:eastAsia="zh-CN"/>
        </w:rPr>
        <w:t>末</w:t>
      </w:r>
      <w:r>
        <w:rPr>
          <w:rFonts w:hint="eastAsia"/>
          <w:sz w:val="32"/>
          <w:szCs w:val="40"/>
        </w:rPr>
        <w:t>期检查概述</w:t>
      </w:r>
      <w:bookmarkEnd w:id="7"/>
    </w:p>
    <w:p w14:paraId="08698BA0">
      <w:pPr>
        <w:rPr>
          <w:rFonts w:hint="eastAsia"/>
          <w:sz w:val="21"/>
          <w:szCs w:val="22"/>
        </w:rPr>
      </w:pPr>
    </w:p>
    <w:p w14:paraId="1490ABAF">
      <w:pPr>
        <w:numPr>
          <w:ilvl w:val="0"/>
          <w:numId w:val="1"/>
        </w:numPr>
        <w:spacing w:line="400" w:lineRule="exact"/>
        <w:outlineLvl w:val="1"/>
        <w:rPr>
          <w:rFonts w:ascii="宋体" w:hAnsi="宋体" w:cs="宋体"/>
          <w:b/>
          <w:bCs/>
          <w:sz w:val="24"/>
          <w:szCs w:val="24"/>
          <w:lang w:val="zh-CN"/>
        </w:rPr>
      </w:pPr>
      <w:bookmarkStart w:id="8" w:name="_Toc9483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下沙</w:t>
      </w:r>
      <w:r>
        <w:rPr>
          <w:rFonts w:hint="eastAsia" w:ascii="宋体" w:hAnsi="宋体" w:cs="宋体"/>
          <w:b/>
          <w:bCs/>
          <w:sz w:val="24"/>
          <w:szCs w:val="24"/>
        </w:rPr>
        <w:t>街道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2024年</w:t>
      </w:r>
      <w:r>
        <w:rPr>
          <w:rFonts w:hint="eastAsia" w:ascii="宋体" w:hAnsi="宋体" w:cs="宋体"/>
          <w:b/>
          <w:bCs/>
          <w:sz w:val="24"/>
          <w:szCs w:val="24"/>
        </w:rPr>
        <w:t>公益创投项目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b/>
          <w:bCs/>
          <w:sz w:val="24"/>
          <w:szCs w:val="24"/>
        </w:rPr>
        <w:t>期检查</w:t>
      </w:r>
      <w:r>
        <w:rPr>
          <w:rFonts w:hint="eastAsia" w:ascii="宋体" w:hAnsi="宋体" w:cs="宋体"/>
          <w:b/>
          <w:bCs/>
          <w:sz w:val="24"/>
          <w:szCs w:val="24"/>
          <w:lang w:val="zh-CN"/>
        </w:rPr>
        <w:t>概述</w:t>
      </w:r>
      <w:bookmarkEnd w:id="8"/>
    </w:p>
    <w:p w14:paraId="7EF61F8B">
      <w:pPr>
        <w:pStyle w:val="6"/>
        <w:rPr>
          <w:lang w:val="zh-CN"/>
        </w:rPr>
      </w:pPr>
    </w:p>
    <w:p w14:paraId="520D6D47">
      <w:pPr>
        <w:pStyle w:val="11"/>
        <w:spacing w:line="400" w:lineRule="exact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下沙街道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年</w:t>
      </w:r>
      <w:r>
        <w:rPr>
          <w:rFonts w:hint="eastAsia" w:ascii="宋体" w:hAnsi="宋体" w:eastAsia="宋体" w:cs="宋体"/>
          <w:sz w:val="24"/>
          <w:szCs w:val="24"/>
        </w:rPr>
        <w:t>公益创投项目由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杭州市钱塘区人民政府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下沙</w:t>
      </w:r>
      <w:r>
        <w:rPr>
          <w:rFonts w:hint="eastAsia" w:ascii="宋体" w:hAnsi="宋体" w:eastAsia="宋体" w:cs="宋体"/>
          <w:sz w:val="24"/>
          <w:szCs w:val="24"/>
        </w:rPr>
        <w:t>街道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办事处</w:t>
      </w:r>
      <w:r>
        <w:rPr>
          <w:rFonts w:hint="eastAsia" w:ascii="宋体" w:hAnsi="宋体" w:eastAsia="宋体" w:cs="宋体"/>
          <w:sz w:val="24"/>
          <w:szCs w:val="24"/>
        </w:rPr>
        <w:t>主办，杭州市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拱墅区</w:t>
      </w:r>
      <w:r>
        <w:rPr>
          <w:rFonts w:hint="eastAsia" w:ascii="宋体" w:hAnsi="宋体" w:eastAsia="宋体" w:cs="宋体"/>
          <w:sz w:val="24"/>
          <w:szCs w:val="24"/>
        </w:rPr>
        <w:t>乐助公益发展中心承办。自202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default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月启动以来，历经项目征集、项目评审、项目优化、项目签约阶段，于202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月进入项目实施阶段。</w:t>
      </w:r>
    </w:p>
    <w:p w14:paraId="6947106C">
      <w:pPr>
        <w:spacing w:line="4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公益创投项目的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sz w:val="24"/>
          <w:szCs w:val="24"/>
        </w:rPr>
        <w:t>期检查，旨在检查项目执行方项目运营整体情况，检验项目完成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度</w:t>
      </w:r>
      <w:r>
        <w:rPr>
          <w:rFonts w:hint="eastAsia" w:ascii="宋体" w:hAnsi="宋体" w:cs="宋体"/>
          <w:sz w:val="24"/>
          <w:szCs w:val="24"/>
        </w:rPr>
        <w:t>，核查项目资金使用的规范性，以保证财政资金的安全与有效使用。</w:t>
      </w:r>
    </w:p>
    <w:p w14:paraId="5733BD45">
      <w:pPr>
        <w:pStyle w:val="6"/>
        <w:rPr>
          <w:lang w:val="zh-CN"/>
        </w:rPr>
      </w:pPr>
    </w:p>
    <w:p w14:paraId="684D9AA1">
      <w:pPr>
        <w:numPr>
          <w:ilvl w:val="0"/>
          <w:numId w:val="2"/>
        </w:numPr>
        <w:spacing w:line="400" w:lineRule="exact"/>
        <w:outlineLvl w:val="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检查主要内容</w:t>
      </w:r>
    </w:p>
    <w:p w14:paraId="173D406F">
      <w:pPr>
        <w:numPr>
          <w:ilvl w:val="0"/>
          <w:numId w:val="0"/>
        </w:numPr>
        <w:spacing w:line="400" w:lineRule="exact"/>
        <w:ind w:left="480" w:leftChars="0"/>
        <w:rPr>
          <w:rFonts w:ascii="宋体" w:hAnsi="宋体" w:cs="宋体"/>
          <w:sz w:val="24"/>
          <w:szCs w:val="24"/>
        </w:rPr>
      </w:pPr>
      <w:r>
        <w:rPr>
          <w:rFonts w:hint="default" w:ascii="宋体" w:hAnsi="宋体" w:cs="宋体"/>
          <w:sz w:val="24"/>
          <w:szCs w:val="24"/>
          <w:lang w:val="en-US"/>
        </w:rPr>
        <w:t>1.</w:t>
      </w:r>
      <w:r>
        <w:rPr>
          <w:rFonts w:hint="eastAsia" w:ascii="宋体" w:hAnsi="宋体" w:cs="宋体"/>
          <w:sz w:val="24"/>
          <w:szCs w:val="24"/>
        </w:rPr>
        <w:t>项目实施进度和内容</w:t>
      </w:r>
    </w:p>
    <w:p w14:paraId="2059CBB8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2.项目财务的规范性和合理性</w:t>
      </w:r>
    </w:p>
    <w:p w14:paraId="775B5799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3.项目成效</w:t>
      </w:r>
    </w:p>
    <w:p w14:paraId="2E4BEA4A">
      <w:pPr>
        <w:spacing w:line="400" w:lineRule="exact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4.社会影响</w:t>
      </w:r>
    </w:p>
    <w:p w14:paraId="124E776A">
      <w:pPr>
        <w:pStyle w:val="6"/>
        <w:ind w:firstLine="480"/>
      </w:pPr>
    </w:p>
    <w:p w14:paraId="65FD7CF5">
      <w:pPr>
        <w:numPr>
          <w:ilvl w:val="0"/>
          <w:numId w:val="2"/>
        </w:numPr>
        <w:spacing w:line="400" w:lineRule="exact"/>
        <w:outlineLvl w:val="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受评组织参与评估人员</w:t>
      </w:r>
    </w:p>
    <w:p w14:paraId="7318043F">
      <w:pPr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受评项目的负责人和财务人员</w:t>
      </w:r>
    </w:p>
    <w:p w14:paraId="5E5E77B1">
      <w:pPr>
        <w:pStyle w:val="6"/>
      </w:pPr>
    </w:p>
    <w:p w14:paraId="52889FA9">
      <w:pPr>
        <w:numPr>
          <w:ilvl w:val="0"/>
          <w:numId w:val="2"/>
        </w:numPr>
        <w:spacing w:line="400" w:lineRule="exact"/>
        <w:outlineLvl w:val="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评估执行方</w:t>
      </w:r>
    </w:p>
    <w:p w14:paraId="269320FA">
      <w:pPr>
        <w:spacing w:line="400" w:lineRule="exact"/>
        <w:outlineLvl w:val="1"/>
        <w:rPr>
          <w:rFonts w:ascii="宋体" w:hAnsi="宋体" w:cs="宋体"/>
          <w:sz w:val="24"/>
          <w:szCs w:val="24"/>
        </w:rPr>
        <w:sectPr>
          <w:headerReference r:id="rId5" w:type="default"/>
          <w:footerReference r:id="rId6" w:type="default"/>
          <w:pgSz w:w="11906" w:h="16838"/>
          <w:pgMar w:top="1361" w:right="1020" w:bottom="1020" w:left="1020" w:header="851" w:footer="794" w:gutter="0"/>
          <w:pgNumType w:fmt="numberInDash"/>
          <w:cols w:space="720" w:num="1"/>
          <w:docGrid w:type="lines" w:linePitch="314" w:charSpace="0"/>
        </w:sectPr>
      </w:pPr>
      <w:r>
        <w:rPr>
          <w:rFonts w:hint="eastAsia" w:ascii="宋体" w:hAnsi="宋体" w:cs="宋体"/>
          <w:sz w:val="24"/>
          <w:szCs w:val="24"/>
        </w:rPr>
        <w:t xml:space="preserve">   </w:t>
      </w:r>
      <w:bookmarkStart w:id="9" w:name="_Toc31480"/>
      <w:r>
        <w:rPr>
          <w:rFonts w:hint="eastAsia" w:ascii="宋体" w:hAnsi="宋体" w:cs="宋体"/>
          <w:sz w:val="24"/>
          <w:szCs w:val="24"/>
        </w:rPr>
        <w:t>杭州市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拱墅区</w:t>
      </w:r>
      <w:r>
        <w:rPr>
          <w:rFonts w:hint="eastAsia" w:ascii="宋体" w:hAnsi="宋体" w:cs="宋体"/>
          <w:sz w:val="24"/>
          <w:szCs w:val="24"/>
        </w:rPr>
        <w:t>乐助公益发展中心</w:t>
      </w:r>
      <w:bookmarkEnd w:id="9"/>
    </w:p>
    <w:p w14:paraId="5D855C3E">
      <w:pPr>
        <w:numPr>
          <w:ilvl w:val="0"/>
          <w:numId w:val="1"/>
        </w:numPr>
        <w:spacing w:line="400" w:lineRule="exact"/>
        <w:outlineLvl w:val="1"/>
        <w:rPr>
          <w:rFonts w:ascii="宋体" w:hAnsi="宋体" w:cs="宋体"/>
          <w:b/>
          <w:bCs/>
          <w:sz w:val="24"/>
          <w:szCs w:val="24"/>
          <w:lang w:val="zh-CN"/>
        </w:rPr>
      </w:pPr>
      <w:bookmarkStart w:id="10" w:name="_Toc4994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b/>
          <w:bCs/>
          <w:sz w:val="24"/>
          <w:szCs w:val="24"/>
          <w:lang w:val="zh-CN"/>
        </w:rPr>
        <w:t>期检查设计</w:t>
      </w:r>
      <w:bookmarkEnd w:id="10"/>
    </w:p>
    <w:p w14:paraId="150325C3">
      <w:pPr>
        <w:pStyle w:val="6"/>
        <w:rPr>
          <w:lang w:val="zh-CN"/>
        </w:rPr>
      </w:pPr>
    </w:p>
    <w:p w14:paraId="017EC237">
      <w:pPr>
        <w:pStyle w:val="11"/>
        <w:numPr>
          <w:ilvl w:val="0"/>
          <w:numId w:val="3"/>
        </w:numPr>
        <w:spacing w:line="400" w:lineRule="exact"/>
        <w:ind w:firstLineChars="0"/>
        <w:outlineLvl w:val="2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评估对象</w:t>
      </w:r>
    </w:p>
    <w:p w14:paraId="0A9E6914">
      <w:pPr>
        <w:pStyle w:val="11"/>
        <w:spacing w:line="400" w:lineRule="exact"/>
        <w:ind w:firstLine="0"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下沙</w:t>
      </w:r>
      <w:r>
        <w:rPr>
          <w:rFonts w:hint="eastAsia" w:ascii="宋体" w:hAnsi="宋体" w:eastAsia="宋体" w:cs="宋体"/>
          <w:sz w:val="24"/>
          <w:szCs w:val="24"/>
        </w:rPr>
        <w:t>街道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2024年</w:t>
      </w:r>
      <w:r>
        <w:rPr>
          <w:rFonts w:hint="eastAsia" w:ascii="宋体" w:hAnsi="宋体" w:eastAsia="宋体" w:cs="宋体"/>
          <w:sz w:val="24"/>
          <w:szCs w:val="24"/>
        </w:rPr>
        <w:t>公益创投项目共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个，分别是：</w:t>
      </w:r>
    </w:p>
    <w:tbl>
      <w:tblPr>
        <w:tblStyle w:val="9"/>
        <w:tblW w:w="88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3212"/>
        <w:gridCol w:w="4280"/>
      </w:tblGrid>
      <w:tr w14:paraId="7A85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vAlign w:val="center"/>
          </w:tcPr>
          <w:p w14:paraId="516DC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kern w:val="2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zh-CN"/>
              </w:rPr>
              <w:t>项目编号</w:t>
            </w:r>
          </w:p>
        </w:tc>
        <w:tc>
          <w:tcPr>
            <w:tcW w:w="3212" w:type="dxa"/>
            <w:vAlign w:val="center"/>
          </w:tcPr>
          <w:p w14:paraId="325305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kern w:val="2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zh-CN"/>
              </w:rPr>
              <w:t>项目名称</w:t>
            </w:r>
          </w:p>
        </w:tc>
        <w:tc>
          <w:tcPr>
            <w:tcW w:w="4280" w:type="dxa"/>
            <w:vAlign w:val="center"/>
          </w:tcPr>
          <w:p w14:paraId="065B7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kern w:val="2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zh-CN"/>
              </w:rPr>
              <w:t>承接机构</w:t>
            </w:r>
          </w:p>
        </w:tc>
      </w:tr>
      <w:tr w14:paraId="73A18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ACF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kern w:val="2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XS001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58A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kern w:val="2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“荟沙有邻”社区共建共融服务项目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812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kern w:val="2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杭州市拱墅区支点公益事业发展中心</w:t>
            </w:r>
          </w:p>
        </w:tc>
      </w:tr>
      <w:tr w14:paraId="0C21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AD2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XS002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2C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“暖心计划”计生家庭增能融合服务项目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1A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杭州市余杭区文泽社会组织服务中心</w:t>
            </w:r>
          </w:p>
        </w:tc>
      </w:tr>
      <w:tr w14:paraId="761E7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35E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kern w:val="2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XS003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6D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“小苗驿站”婴幼儿照护和发展建设项目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C7F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杭州市钱塘区下沙街道早城社区早春社社会组织服务中心</w:t>
            </w:r>
          </w:p>
        </w:tc>
      </w:tr>
      <w:tr w14:paraId="2F0D0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F2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kern w:val="2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XS004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DC2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“家有救星”社企融合服务项目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8E3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杭州市钱塘区红十字杭蓝救援队</w:t>
            </w:r>
          </w:p>
        </w:tc>
      </w:tr>
      <w:tr w14:paraId="23DD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026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2024XS005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589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“小沙励”助力居民就业共富项目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798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杭州市钱塘区下沙街道湾南社区社会组织服务中心</w:t>
            </w:r>
          </w:p>
        </w:tc>
      </w:tr>
      <w:tr w14:paraId="5BB72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67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2024XS006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844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“聚善下沙”社区1516便民市集项目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EC4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杭州市上城区蒋金海爱心车队公益驿站</w:t>
            </w:r>
          </w:p>
        </w:tc>
      </w:tr>
      <w:tr w14:paraId="5C4C2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422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2024XS007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355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“暖益度”助力残疾人发展项目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EB3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杭州市钱塘区七色花妇女儿童成长中心</w:t>
            </w:r>
          </w:p>
        </w:tc>
      </w:tr>
      <w:tr w14:paraId="486A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7E4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2024XS008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F3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“青葵伙伴”青少年家社成长共育项目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1D9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杭州市钱塘区元成社区社会组织服务中心</w:t>
            </w:r>
          </w:p>
        </w:tc>
      </w:tr>
      <w:tr w14:paraId="42F7C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37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2024XS009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DD1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“花田依旧在”老年天团发展项目</w:t>
            </w:r>
          </w:p>
        </w:tc>
        <w:tc>
          <w:tcPr>
            <w:tcW w:w="4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CD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杭州市钱塘区七色花妇女儿童成长中心</w:t>
            </w:r>
          </w:p>
        </w:tc>
      </w:tr>
    </w:tbl>
    <w:p w14:paraId="72AF3638">
      <w:pPr>
        <w:pStyle w:val="11"/>
        <w:numPr>
          <w:ilvl w:val="0"/>
          <w:numId w:val="3"/>
        </w:numPr>
        <w:spacing w:line="400" w:lineRule="exact"/>
        <w:ind w:firstLineChars="0"/>
        <w:outlineLvl w:val="2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期评估组成员</w:t>
      </w:r>
    </w:p>
    <w:tbl>
      <w:tblPr>
        <w:tblStyle w:val="9"/>
        <w:tblpPr w:leftFromText="180" w:rightFromText="180" w:vertAnchor="text" w:horzAnchor="page" w:tblpXSpec="center" w:tblpY="274"/>
        <w:tblOverlap w:val="never"/>
        <w:tblW w:w="9046" w:type="dxa"/>
        <w:tblInd w:w="9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194"/>
        <w:gridCol w:w="5014"/>
        <w:gridCol w:w="2123"/>
      </w:tblGrid>
      <w:tr w14:paraId="1A2D7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781EC35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1194" w:type="dxa"/>
            <w:vAlign w:val="center"/>
          </w:tcPr>
          <w:p w14:paraId="5B2AD35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014" w:type="dxa"/>
            <w:vAlign w:val="center"/>
          </w:tcPr>
          <w:p w14:paraId="19E83BF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头衔</w:t>
            </w:r>
          </w:p>
        </w:tc>
        <w:tc>
          <w:tcPr>
            <w:tcW w:w="2123" w:type="dxa"/>
            <w:vAlign w:val="center"/>
          </w:tcPr>
          <w:p w14:paraId="6B083FA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职责</w:t>
            </w:r>
          </w:p>
        </w:tc>
      </w:tr>
      <w:tr w14:paraId="3418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2F544E8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194" w:type="dxa"/>
            <w:vAlign w:val="center"/>
          </w:tcPr>
          <w:p w14:paraId="46BF14A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郑晶晶</w:t>
            </w:r>
          </w:p>
        </w:tc>
        <w:tc>
          <w:tcPr>
            <w:tcW w:w="5014" w:type="dxa"/>
            <w:vAlign w:val="center"/>
          </w:tcPr>
          <w:p w14:paraId="0C2BEA1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杭州市拱墅区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乐助公益发展中心 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Hans"/>
              </w:rPr>
              <w:t>项目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主管</w:t>
            </w:r>
          </w:p>
        </w:tc>
        <w:tc>
          <w:tcPr>
            <w:tcW w:w="2123" w:type="dxa"/>
            <w:vAlign w:val="center"/>
          </w:tcPr>
          <w:p w14:paraId="08EE939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项目评审</w:t>
            </w:r>
          </w:p>
        </w:tc>
      </w:tr>
      <w:tr w14:paraId="0CF10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0CF8E7F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94" w:type="dxa"/>
            <w:vAlign w:val="center"/>
          </w:tcPr>
          <w:p w14:paraId="007D253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杨华</w:t>
            </w:r>
          </w:p>
        </w:tc>
        <w:tc>
          <w:tcPr>
            <w:tcW w:w="5014" w:type="dxa"/>
            <w:vAlign w:val="center"/>
          </w:tcPr>
          <w:p w14:paraId="29FBE1A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浙江浙经天策会计师事务所、中国注册会计师</w:t>
            </w:r>
          </w:p>
        </w:tc>
        <w:tc>
          <w:tcPr>
            <w:tcW w:w="2123" w:type="dxa"/>
            <w:vAlign w:val="center"/>
          </w:tcPr>
          <w:p w14:paraId="46152D6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财务评审</w:t>
            </w:r>
          </w:p>
        </w:tc>
      </w:tr>
    </w:tbl>
    <w:p w14:paraId="303434CF">
      <w:pPr>
        <w:pStyle w:val="11"/>
        <w:numPr>
          <w:ilvl w:val="0"/>
          <w:numId w:val="3"/>
        </w:numPr>
        <w:spacing w:line="400" w:lineRule="exact"/>
        <w:ind w:firstLineChars="0"/>
        <w:outlineLvl w:val="2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评估日程</w:t>
      </w:r>
    </w:p>
    <w:p w14:paraId="004A37E1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 评估程序</w:t>
      </w:r>
    </w:p>
    <w:p w14:paraId="55BB58D8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下沙</w:t>
      </w:r>
      <w:r>
        <w:rPr>
          <w:rFonts w:hint="eastAsia" w:ascii="宋体" w:hAnsi="宋体" w:cs="宋体"/>
          <w:bCs/>
          <w:sz w:val="24"/>
          <w:szCs w:val="24"/>
        </w:rPr>
        <w:t>街道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2024年</w:t>
      </w:r>
      <w:r>
        <w:rPr>
          <w:rFonts w:hint="eastAsia" w:ascii="宋体" w:hAnsi="宋体" w:cs="宋体"/>
          <w:bCs/>
          <w:sz w:val="24"/>
          <w:szCs w:val="24"/>
        </w:rPr>
        <w:t>公益创投项目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bCs/>
          <w:sz w:val="24"/>
          <w:szCs w:val="24"/>
        </w:rPr>
        <w:t>期检查程序包括以下几个内容和步骤：</w:t>
      </w:r>
    </w:p>
    <w:p w14:paraId="5E9F4CE6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第一，项目方自我评估及接受第三方评估准备；</w:t>
      </w:r>
    </w:p>
    <w:p w14:paraId="3259F26E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第二，项目成效指导；</w:t>
      </w:r>
    </w:p>
    <w:p w14:paraId="1E24B6D8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第三，第三方现场核查；</w:t>
      </w:r>
    </w:p>
    <w:p w14:paraId="0A00E356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第四，汇总评估结果，提交主办方审核</w:t>
      </w:r>
      <w:r>
        <w:rPr>
          <w:rFonts w:hint="eastAsia" w:ascii="宋体" w:hAnsi="宋体" w:cs="宋体"/>
          <w:bCs/>
          <w:sz w:val="24"/>
          <w:szCs w:val="24"/>
          <w:lang w:eastAsia="zh-Hans"/>
        </w:rPr>
        <w:t>。</w:t>
      </w:r>
    </w:p>
    <w:p w14:paraId="2842B0F9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各个程序由相应的团队或人员实行，各步骤有不同的实施方式和产出。</w:t>
      </w:r>
    </w:p>
    <w:p w14:paraId="4119E0DD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 评估方法</w:t>
      </w:r>
    </w:p>
    <w:p w14:paraId="2CB739A3">
      <w:pPr>
        <w:pStyle w:val="11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（1）文献法</w:t>
      </w:r>
    </w:p>
    <w:p w14:paraId="4C313032">
      <w:pPr>
        <w:pStyle w:val="11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组织资料，包括但不限于组织的基本信息（组织章程等）、与项目有关的组织制度文本（项目财务管理制度等）和组织日常工作记录（董事会或理事会会议记录、组织内训记录等）。</w:t>
      </w:r>
    </w:p>
    <w:p w14:paraId="19D2413E">
      <w:pPr>
        <w:pStyle w:val="11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资料，包括但不限于项目实施计划表、项目实施年度计划表、项目服务调整申请表、项目节点文件（上月完成情况表、月度工作计划表、项目月度收支表）、项目活动档案资料（服务对象申请表、服务对象汇总表、项目团队成员表、服务活动呈报表、服务对象签到表）。</w:t>
      </w:r>
    </w:p>
    <w:p w14:paraId="04428079">
      <w:pPr>
        <w:pStyle w:val="11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其他资料，包括但不限于项目测评工具（服务满意度问卷等）、项目各类统计文本（服务满意度调查结果统计等）和项目各类工作报告等。</w:t>
      </w:r>
    </w:p>
    <w:p w14:paraId="540B51D7">
      <w:pPr>
        <w:pStyle w:val="11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（2）观察法</w:t>
      </w:r>
    </w:p>
    <w:p w14:paraId="00E39C76">
      <w:pPr>
        <w:pStyle w:val="11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解项目的具体服务过程，工作人员应对每个项目的日常服务或活动过程进行现场观察。观察内容包括：服务环境、服务内容、服务方法以及服务人员与服务对象的互动、服务评价等（可参照项目走访记录表、活动现场监测表、对账记录表、档案资料抽检记录表等）。</w:t>
      </w:r>
    </w:p>
    <w:p w14:paraId="025CF36E">
      <w:pPr>
        <w:pStyle w:val="11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</w:p>
    <w:p w14:paraId="1E0687C7">
      <w:pPr>
        <w:pStyle w:val="2"/>
        <w:ind w:left="0" w:leftChars="0" w:firstLine="0" w:firstLineChars="0"/>
        <w:jc w:val="center"/>
        <w:rPr>
          <w:rFonts w:ascii="宋体" w:hAnsi="宋体" w:cs="宋体"/>
          <w:sz w:val="32"/>
          <w:szCs w:val="40"/>
        </w:rPr>
      </w:pPr>
      <w:bookmarkStart w:id="11" w:name="_Toc5732"/>
      <w:r>
        <w:rPr>
          <w:rFonts w:hint="eastAsia" w:ascii="宋体" w:hAnsi="宋体" w:cs="宋体"/>
          <w:sz w:val="32"/>
          <w:szCs w:val="40"/>
        </w:rPr>
        <w:t xml:space="preserve">第二部分 </w:t>
      </w:r>
      <w:r>
        <w:rPr>
          <w:rFonts w:hint="eastAsia" w:ascii="宋体" w:hAnsi="宋体" w:cs="宋体"/>
          <w:sz w:val="32"/>
          <w:szCs w:val="40"/>
          <w:lang w:val="en-US" w:eastAsia="zh-CN"/>
        </w:rPr>
        <w:t>末</w:t>
      </w:r>
      <w:r>
        <w:rPr>
          <w:rFonts w:hint="eastAsia" w:ascii="宋体" w:hAnsi="宋体" w:cs="宋体"/>
          <w:sz w:val="32"/>
          <w:szCs w:val="40"/>
        </w:rPr>
        <w:t>期检查结果</w:t>
      </w:r>
      <w:bookmarkEnd w:id="11"/>
    </w:p>
    <w:p w14:paraId="7725BAFE">
      <w:pPr>
        <w:rPr>
          <w:rFonts w:ascii="宋体" w:hAnsi="宋体" w:cs="宋体"/>
        </w:rPr>
      </w:pPr>
    </w:p>
    <w:p w14:paraId="5AC24ACA">
      <w:pPr>
        <w:pStyle w:val="3"/>
        <w:numPr>
          <w:ilvl w:val="0"/>
          <w:numId w:val="4"/>
        </w:numPr>
        <w:spacing w:line="360" w:lineRule="auto"/>
        <w:ind w:firstLineChars="0"/>
        <w:rPr>
          <w:rFonts w:ascii="宋体" w:hAnsi="宋体" w:eastAsia="宋体" w:cs="宋体"/>
          <w:b/>
          <w:bCs w:val="0"/>
          <w:iCs/>
          <w:sz w:val="24"/>
          <w:szCs w:val="24"/>
        </w:rPr>
      </w:pPr>
      <w:bookmarkStart w:id="12" w:name="_Toc5615"/>
      <w:r>
        <w:rPr>
          <w:rFonts w:hint="eastAsia" w:ascii="宋体" w:hAnsi="宋体" w:eastAsia="宋体" w:cs="宋体"/>
          <w:b/>
          <w:bCs w:val="0"/>
          <w:iCs/>
          <w:sz w:val="24"/>
          <w:szCs w:val="24"/>
        </w:rPr>
        <w:t>项目绩效评估综述</w:t>
      </w:r>
      <w:bookmarkEnd w:id="12"/>
    </w:p>
    <w:p w14:paraId="05CB03C9">
      <w:pPr>
        <w:spacing w:line="360" w:lineRule="auto"/>
        <w:ind w:firstLine="480" w:firstLineChars="200"/>
        <w:rPr>
          <w:rFonts w:ascii="宋体" w:hAnsi="宋体" w:cs="宋体"/>
          <w:i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经过评估专家对各项目模块具体指标的现场评估，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下沙</w:t>
      </w:r>
      <w:r>
        <w:rPr>
          <w:rFonts w:hint="eastAsia" w:ascii="宋体" w:hAnsi="宋体" w:cs="宋体"/>
          <w:sz w:val="24"/>
          <w:szCs w:val="24"/>
        </w:rPr>
        <w:t>街道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2024年</w:t>
      </w:r>
      <w:r>
        <w:rPr>
          <w:rFonts w:hint="eastAsia" w:ascii="宋体" w:hAnsi="宋体" w:cs="宋体"/>
          <w:sz w:val="24"/>
          <w:szCs w:val="24"/>
        </w:rPr>
        <w:t>公益创投项目各模块得分与评估总分明细如下：</w:t>
      </w:r>
    </w:p>
    <w:tbl>
      <w:tblPr>
        <w:tblStyle w:val="9"/>
        <w:tblW w:w="8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578"/>
        <w:gridCol w:w="3611"/>
        <w:gridCol w:w="840"/>
      </w:tblGrid>
      <w:tr w14:paraId="37890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276435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2578" w:type="dxa"/>
            <w:vAlign w:val="center"/>
          </w:tcPr>
          <w:p w14:paraId="33B4E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611" w:type="dxa"/>
            <w:vAlign w:val="center"/>
          </w:tcPr>
          <w:p w14:paraId="49E53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承接机构</w:t>
            </w:r>
          </w:p>
        </w:tc>
        <w:tc>
          <w:tcPr>
            <w:tcW w:w="840" w:type="dxa"/>
            <w:vAlign w:val="center"/>
          </w:tcPr>
          <w:p w14:paraId="71D652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总分</w:t>
            </w:r>
          </w:p>
        </w:tc>
      </w:tr>
      <w:tr w14:paraId="2B5ED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5E9D99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XS001</w:t>
            </w:r>
          </w:p>
        </w:tc>
        <w:tc>
          <w:tcPr>
            <w:tcW w:w="2578" w:type="dxa"/>
            <w:vAlign w:val="center"/>
          </w:tcPr>
          <w:p w14:paraId="3FA62C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“荟沙有邻”社区共建共融服务项目</w:t>
            </w:r>
          </w:p>
        </w:tc>
        <w:tc>
          <w:tcPr>
            <w:tcW w:w="3611" w:type="dxa"/>
            <w:vAlign w:val="center"/>
          </w:tcPr>
          <w:p w14:paraId="685EC3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杭州市拱墅区支点公益事业发展中心</w:t>
            </w:r>
          </w:p>
        </w:tc>
        <w:tc>
          <w:tcPr>
            <w:tcW w:w="840" w:type="dxa"/>
            <w:vAlign w:val="center"/>
          </w:tcPr>
          <w:p w14:paraId="2BEED8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90</w:t>
            </w:r>
          </w:p>
        </w:tc>
      </w:tr>
      <w:tr w14:paraId="45DE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1166D9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XS002</w:t>
            </w:r>
          </w:p>
        </w:tc>
        <w:tc>
          <w:tcPr>
            <w:tcW w:w="2578" w:type="dxa"/>
            <w:vAlign w:val="center"/>
          </w:tcPr>
          <w:p w14:paraId="6FFB6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“暖心计划”计生家庭增能融合服务项目</w:t>
            </w:r>
          </w:p>
        </w:tc>
        <w:tc>
          <w:tcPr>
            <w:tcW w:w="3611" w:type="dxa"/>
            <w:vAlign w:val="center"/>
          </w:tcPr>
          <w:p w14:paraId="08913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杭州市余杭区文泽社会组织服务中心</w:t>
            </w:r>
          </w:p>
        </w:tc>
        <w:tc>
          <w:tcPr>
            <w:tcW w:w="840" w:type="dxa"/>
            <w:vAlign w:val="center"/>
          </w:tcPr>
          <w:p w14:paraId="561C4A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83</w:t>
            </w:r>
          </w:p>
        </w:tc>
      </w:tr>
      <w:tr w14:paraId="4035B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613852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XS003</w:t>
            </w:r>
          </w:p>
        </w:tc>
        <w:tc>
          <w:tcPr>
            <w:tcW w:w="2578" w:type="dxa"/>
            <w:vAlign w:val="center"/>
          </w:tcPr>
          <w:p w14:paraId="440B84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“小苗驿站”婴幼儿照护和发展建设项目</w:t>
            </w:r>
          </w:p>
        </w:tc>
        <w:tc>
          <w:tcPr>
            <w:tcW w:w="3611" w:type="dxa"/>
            <w:vAlign w:val="center"/>
          </w:tcPr>
          <w:p w14:paraId="6AE6FB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杭州市钱塘区下沙街道早城社区早春社社会组织服务中心</w:t>
            </w:r>
          </w:p>
        </w:tc>
        <w:tc>
          <w:tcPr>
            <w:tcW w:w="840" w:type="dxa"/>
            <w:vAlign w:val="center"/>
          </w:tcPr>
          <w:p w14:paraId="249ACA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81</w:t>
            </w:r>
          </w:p>
        </w:tc>
      </w:tr>
      <w:tr w14:paraId="15C10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7754A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XS004</w:t>
            </w:r>
          </w:p>
        </w:tc>
        <w:tc>
          <w:tcPr>
            <w:tcW w:w="2578" w:type="dxa"/>
            <w:vAlign w:val="center"/>
          </w:tcPr>
          <w:p w14:paraId="639191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“家有救星”社企融合服务项目</w:t>
            </w:r>
          </w:p>
        </w:tc>
        <w:tc>
          <w:tcPr>
            <w:tcW w:w="3611" w:type="dxa"/>
            <w:vAlign w:val="center"/>
          </w:tcPr>
          <w:p w14:paraId="14C041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杭州市钱塘区红十字杭蓝救援队</w:t>
            </w:r>
          </w:p>
        </w:tc>
        <w:tc>
          <w:tcPr>
            <w:tcW w:w="840" w:type="dxa"/>
            <w:vAlign w:val="center"/>
          </w:tcPr>
          <w:p w14:paraId="105DCB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83</w:t>
            </w:r>
          </w:p>
        </w:tc>
      </w:tr>
      <w:tr w14:paraId="7F227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60E1B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2024XS005</w:t>
            </w:r>
          </w:p>
        </w:tc>
        <w:tc>
          <w:tcPr>
            <w:tcW w:w="2578" w:type="dxa"/>
            <w:vAlign w:val="center"/>
          </w:tcPr>
          <w:p w14:paraId="524AD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“小沙励”助力居民就业共富项目</w:t>
            </w:r>
          </w:p>
        </w:tc>
        <w:tc>
          <w:tcPr>
            <w:tcW w:w="3611" w:type="dxa"/>
            <w:vAlign w:val="center"/>
          </w:tcPr>
          <w:p w14:paraId="6158A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杭州市钱塘区下沙街道湾南社区社会组织服务中心</w:t>
            </w:r>
          </w:p>
        </w:tc>
        <w:tc>
          <w:tcPr>
            <w:tcW w:w="840" w:type="dxa"/>
            <w:vAlign w:val="center"/>
          </w:tcPr>
          <w:p w14:paraId="602D4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82</w:t>
            </w:r>
          </w:p>
        </w:tc>
      </w:tr>
      <w:tr w14:paraId="7B9BF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7CF91D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2024XS006</w:t>
            </w:r>
          </w:p>
        </w:tc>
        <w:tc>
          <w:tcPr>
            <w:tcW w:w="2578" w:type="dxa"/>
            <w:vAlign w:val="center"/>
          </w:tcPr>
          <w:p w14:paraId="135561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“聚善下沙”社区1516便民市集项目</w:t>
            </w:r>
          </w:p>
        </w:tc>
        <w:tc>
          <w:tcPr>
            <w:tcW w:w="3611" w:type="dxa"/>
            <w:vAlign w:val="center"/>
          </w:tcPr>
          <w:p w14:paraId="3D2A5B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杭州市上城区蒋金海爱心车队公益驿站</w:t>
            </w:r>
          </w:p>
        </w:tc>
        <w:tc>
          <w:tcPr>
            <w:tcW w:w="840" w:type="dxa"/>
            <w:vAlign w:val="center"/>
          </w:tcPr>
          <w:p w14:paraId="39359D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87</w:t>
            </w:r>
          </w:p>
        </w:tc>
      </w:tr>
      <w:tr w14:paraId="1E1F9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2480C0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2024XS007</w:t>
            </w:r>
          </w:p>
        </w:tc>
        <w:tc>
          <w:tcPr>
            <w:tcW w:w="2578" w:type="dxa"/>
            <w:vAlign w:val="center"/>
          </w:tcPr>
          <w:p w14:paraId="27CE57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“暖益度”助力残疾人发展项目</w:t>
            </w:r>
          </w:p>
        </w:tc>
        <w:tc>
          <w:tcPr>
            <w:tcW w:w="3611" w:type="dxa"/>
            <w:vAlign w:val="center"/>
          </w:tcPr>
          <w:p w14:paraId="18E6EA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杭州市钱塘区七色花妇女儿童成长中心</w:t>
            </w:r>
          </w:p>
        </w:tc>
        <w:tc>
          <w:tcPr>
            <w:tcW w:w="840" w:type="dxa"/>
            <w:vAlign w:val="center"/>
          </w:tcPr>
          <w:p w14:paraId="746EF0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81</w:t>
            </w:r>
          </w:p>
        </w:tc>
      </w:tr>
      <w:tr w14:paraId="6684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6D466F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2024XS008</w:t>
            </w:r>
          </w:p>
        </w:tc>
        <w:tc>
          <w:tcPr>
            <w:tcW w:w="2578" w:type="dxa"/>
            <w:vAlign w:val="center"/>
          </w:tcPr>
          <w:p w14:paraId="262EB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“青葵伙伴”青少年家社成长共育项目</w:t>
            </w:r>
          </w:p>
        </w:tc>
        <w:tc>
          <w:tcPr>
            <w:tcW w:w="3611" w:type="dxa"/>
            <w:vAlign w:val="center"/>
          </w:tcPr>
          <w:p w14:paraId="03B02B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杭州市钱塘区元成社区社会组织服务中心</w:t>
            </w:r>
          </w:p>
        </w:tc>
        <w:tc>
          <w:tcPr>
            <w:tcW w:w="840" w:type="dxa"/>
            <w:vAlign w:val="center"/>
          </w:tcPr>
          <w:p w14:paraId="43D54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86</w:t>
            </w:r>
          </w:p>
        </w:tc>
      </w:tr>
      <w:tr w14:paraId="1283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40FB3E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2024XS009</w:t>
            </w:r>
          </w:p>
        </w:tc>
        <w:tc>
          <w:tcPr>
            <w:tcW w:w="2578" w:type="dxa"/>
            <w:vAlign w:val="center"/>
          </w:tcPr>
          <w:p w14:paraId="003F7F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“花田依旧在”老年天团发展项目</w:t>
            </w:r>
          </w:p>
        </w:tc>
        <w:tc>
          <w:tcPr>
            <w:tcW w:w="3611" w:type="dxa"/>
            <w:vAlign w:val="center"/>
          </w:tcPr>
          <w:p w14:paraId="018BD2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杭州市钱塘区七色花妇女儿童成长中心</w:t>
            </w:r>
          </w:p>
        </w:tc>
        <w:tc>
          <w:tcPr>
            <w:tcW w:w="840" w:type="dxa"/>
            <w:vAlign w:val="center"/>
          </w:tcPr>
          <w:p w14:paraId="15BC15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84</w:t>
            </w:r>
          </w:p>
        </w:tc>
      </w:tr>
    </w:tbl>
    <w:p w14:paraId="7F838848">
      <w:pPr>
        <w:pStyle w:val="6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1920B48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color w:val="auto"/>
          <w:sz w:val="24"/>
          <w:szCs w:val="24"/>
        </w:rPr>
        <w:t>期检查的项目中，项目分数最低分为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81</w:t>
      </w:r>
      <w:r>
        <w:rPr>
          <w:rFonts w:hint="eastAsia" w:ascii="宋体" w:hAnsi="宋体" w:cs="宋体"/>
          <w:color w:val="auto"/>
          <w:sz w:val="24"/>
          <w:szCs w:val="24"/>
        </w:rPr>
        <w:t>分；项目最高分为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90</w:t>
      </w:r>
      <w:r>
        <w:rPr>
          <w:rFonts w:hint="eastAsia" w:ascii="宋体" w:hAnsi="宋体" w:cs="宋体"/>
          <w:color w:val="auto"/>
          <w:sz w:val="24"/>
          <w:szCs w:val="24"/>
        </w:rPr>
        <w:t>分；其中不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低</w:t>
      </w:r>
      <w:r>
        <w:rPr>
          <w:rFonts w:hint="eastAsia" w:ascii="宋体" w:hAnsi="宋体" w:cs="宋体"/>
          <w:color w:val="auto"/>
          <w:sz w:val="24"/>
          <w:szCs w:val="24"/>
        </w:rPr>
        <w:t>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80</w:t>
      </w:r>
      <w:r>
        <w:rPr>
          <w:rFonts w:hint="eastAsia" w:ascii="宋体" w:hAnsi="宋体" w:cs="宋体"/>
          <w:color w:val="auto"/>
          <w:sz w:val="24"/>
          <w:szCs w:val="24"/>
        </w:rPr>
        <w:t>分的项目有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4"/>
          <w:szCs w:val="24"/>
        </w:rPr>
        <w:t>个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 w14:paraId="68BCBE6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color w:val="auto"/>
          <w:sz w:val="24"/>
          <w:szCs w:val="24"/>
        </w:rPr>
        <w:t>期检查的项目中，分数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高于90</w:t>
      </w:r>
      <w:r>
        <w:rPr>
          <w:rFonts w:hint="eastAsia" w:ascii="宋体" w:hAnsi="宋体" w:cs="宋体"/>
          <w:color w:val="auto"/>
          <w:sz w:val="24"/>
          <w:szCs w:val="24"/>
        </w:rPr>
        <w:t>的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项目有1个</w:t>
      </w:r>
      <w:r>
        <w:rPr>
          <w:rFonts w:hint="eastAsia" w:ascii="宋体" w:hAnsi="宋体" w:cs="宋体"/>
          <w:color w:val="auto"/>
          <w:sz w:val="24"/>
          <w:szCs w:val="24"/>
        </w:rPr>
        <w:t>，建议评定为：优秀，是：</w:t>
      </w:r>
    </w:p>
    <w:tbl>
      <w:tblPr>
        <w:tblStyle w:val="9"/>
        <w:tblW w:w="8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578"/>
        <w:gridCol w:w="3611"/>
        <w:gridCol w:w="840"/>
      </w:tblGrid>
      <w:tr w14:paraId="15606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95" w:type="dxa"/>
            <w:vAlign w:val="center"/>
          </w:tcPr>
          <w:p w14:paraId="4DBAE7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2578" w:type="dxa"/>
            <w:vAlign w:val="center"/>
          </w:tcPr>
          <w:p w14:paraId="101051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611" w:type="dxa"/>
            <w:vAlign w:val="center"/>
          </w:tcPr>
          <w:p w14:paraId="594A1B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承接机构</w:t>
            </w:r>
          </w:p>
        </w:tc>
        <w:tc>
          <w:tcPr>
            <w:tcW w:w="840" w:type="dxa"/>
            <w:vAlign w:val="center"/>
          </w:tcPr>
          <w:p w14:paraId="54D59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总分</w:t>
            </w:r>
          </w:p>
        </w:tc>
      </w:tr>
      <w:tr w14:paraId="79F2F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12C489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XS001</w:t>
            </w:r>
          </w:p>
        </w:tc>
        <w:tc>
          <w:tcPr>
            <w:tcW w:w="2578" w:type="dxa"/>
            <w:vAlign w:val="center"/>
          </w:tcPr>
          <w:p w14:paraId="6E4BF5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“荟沙有邻”社区共建共融服务项目</w:t>
            </w:r>
          </w:p>
        </w:tc>
        <w:tc>
          <w:tcPr>
            <w:tcW w:w="3611" w:type="dxa"/>
            <w:vAlign w:val="center"/>
          </w:tcPr>
          <w:p w14:paraId="5703E0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杭州市拱墅区支点公益事业发展中心</w:t>
            </w:r>
          </w:p>
        </w:tc>
        <w:tc>
          <w:tcPr>
            <w:tcW w:w="840" w:type="dxa"/>
            <w:vAlign w:val="center"/>
          </w:tcPr>
          <w:p w14:paraId="11BA63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90</w:t>
            </w:r>
          </w:p>
        </w:tc>
      </w:tr>
    </w:tbl>
    <w:p w14:paraId="438C32CE">
      <w:pPr>
        <w:adjustRightInd w:val="0"/>
        <w:snapToGrid w:val="0"/>
        <w:spacing w:before="156" w:beforeLines="5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color w:val="auto"/>
          <w:sz w:val="24"/>
          <w:szCs w:val="24"/>
        </w:rPr>
        <w:t>期检查的项目中，分数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不低于85</w:t>
      </w:r>
      <w:r>
        <w:rPr>
          <w:rFonts w:hint="eastAsia" w:ascii="宋体" w:hAnsi="宋体" w:cs="宋体"/>
          <w:color w:val="auto"/>
          <w:sz w:val="24"/>
          <w:szCs w:val="24"/>
        </w:rPr>
        <w:t>分的有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</w:rPr>
        <w:t>个，建议评定为：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良好</w:t>
      </w:r>
      <w:r>
        <w:rPr>
          <w:rFonts w:hint="eastAsia" w:ascii="宋体" w:hAnsi="宋体" w:cs="宋体"/>
          <w:color w:val="auto"/>
          <w:sz w:val="24"/>
          <w:szCs w:val="24"/>
        </w:rPr>
        <w:t>，分别是：</w:t>
      </w:r>
    </w:p>
    <w:tbl>
      <w:tblPr>
        <w:tblStyle w:val="9"/>
        <w:tblW w:w="8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578"/>
        <w:gridCol w:w="3611"/>
        <w:gridCol w:w="840"/>
      </w:tblGrid>
      <w:tr w14:paraId="210BC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5" w:type="dxa"/>
            <w:vAlign w:val="center"/>
          </w:tcPr>
          <w:p w14:paraId="195F6B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2578" w:type="dxa"/>
            <w:vAlign w:val="center"/>
          </w:tcPr>
          <w:p w14:paraId="32D58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611" w:type="dxa"/>
            <w:vAlign w:val="center"/>
          </w:tcPr>
          <w:p w14:paraId="54AEB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承接机构</w:t>
            </w:r>
          </w:p>
        </w:tc>
        <w:tc>
          <w:tcPr>
            <w:tcW w:w="840" w:type="dxa"/>
            <w:vAlign w:val="center"/>
          </w:tcPr>
          <w:p w14:paraId="5EA34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总分</w:t>
            </w:r>
          </w:p>
        </w:tc>
      </w:tr>
      <w:tr w14:paraId="66AFC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16235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2024XS006</w:t>
            </w:r>
          </w:p>
        </w:tc>
        <w:tc>
          <w:tcPr>
            <w:tcW w:w="2578" w:type="dxa"/>
            <w:vAlign w:val="center"/>
          </w:tcPr>
          <w:p w14:paraId="2CAC7C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“聚善下沙”社区1516便民市集项目</w:t>
            </w:r>
          </w:p>
        </w:tc>
        <w:tc>
          <w:tcPr>
            <w:tcW w:w="3611" w:type="dxa"/>
            <w:vAlign w:val="center"/>
          </w:tcPr>
          <w:p w14:paraId="7BC26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杭州市上城区蒋金海爱心车队公益驿站</w:t>
            </w:r>
          </w:p>
        </w:tc>
        <w:tc>
          <w:tcPr>
            <w:tcW w:w="840" w:type="dxa"/>
            <w:vAlign w:val="center"/>
          </w:tcPr>
          <w:p w14:paraId="036028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87</w:t>
            </w:r>
          </w:p>
        </w:tc>
      </w:tr>
      <w:tr w14:paraId="1FC5C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13FDB1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2024XS008</w:t>
            </w:r>
          </w:p>
        </w:tc>
        <w:tc>
          <w:tcPr>
            <w:tcW w:w="2578" w:type="dxa"/>
            <w:vAlign w:val="center"/>
          </w:tcPr>
          <w:p w14:paraId="666A14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“青葵伙伴”青少年家社成长共育项目</w:t>
            </w:r>
          </w:p>
        </w:tc>
        <w:tc>
          <w:tcPr>
            <w:tcW w:w="3611" w:type="dxa"/>
            <w:vAlign w:val="center"/>
          </w:tcPr>
          <w:p w14:paraId="0CB9C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杭州市钱塘区元成社区社会组织服务中心</w:t>
            </w:r>
          </w:p>
        </w:tc>
        <w:tc>
          <w:tcPr>
            <w:tcW w:w="840" w:type="dxa"/>
            <w:vAlign w:val="center"/>
          </w:tcPr>
          <w:p w14:paraId="58722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86</w:t>
            </w:r>
          </w:p>
        </w:tc>
      </w:tr>
    </w:tbl>
    <w:p w14:paraId="1E5E6D05">
      <w:pPr>
        <w:adjustRightInd w:val="0"/>
        <w:snapToGrid w:val="0"/>
        <w:spacing w:before="156" w:beforeLines="50" w:line="360" w:lineRule="auto"/>
        <w:ind w:firstLine="480" w:firstLineChars="200"/>
        <w:rPr>
          <w:color w:val="auto"/>
        </w:rPr>
      </w:pPr>
      <w:r>
        <w:rPr>
          <w:rFonts w:hint="eastAsia" w:ascii="宋体" w:hAnsi="宋体" w:cs="宋体"/>
          <w:color w:val="auto"/>
          <w:sz w:val="24"/>
          <w:szCs w:val="24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color w:val="auto"/>
          <w:sz w:val="24"/>
          <w:szCs w:val="24"/>
        </w:rPr>
        <w:t>期检查的项目中，分数介于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80-85</w:t>
      </w:r>
      <w:r>
        <w:rPr>
          <w:rFonts w:hint="eastAsia" w:ascii="宋体" w:hAnsi="宋体" w:cs="宋体"/>
          <w:color w:val="auto"/>
          <w:sz w:val="24"/>
          <w:szCs w:val="24"/>
        </w:rPr>
        <w:t>分之间的有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4"/>
          <w:szCs w:val="24"/>
        </w:rPr>
        <w:t>个，建议评定为：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合格</w:t>
      </w:r>
      <w:r>
        <w:rPr>
          <w:rFonts w:hint="eastAsia" w:ascii="宋体" w:hAnsi="宋体" w:cs="宋体"/>
          <w:color w:val="auto"/>
          <w:sz w:val="24"/>
          <w:szCs w:val="24"/>
        </w:rPr>
        <w:t>，分别是：</w:t>
      </w:r>
    </w:p>
    <w:tbl>
      <w:tblPr>
        <w:tblStyle w:val="9"/>
        <w:tblW w:w="8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578"/>
        <w:gridCol w:w="3611"/>
        <w:gridCol w:w="840"/>
      </w:tblGrid>
      <w:tr w14:paraId="2AD48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5" w:type="dxa"/>
            <w:vAlign w:val="center"/>
          </w:tcPr>
          <w:p w14:paraId="45A163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2578" w:type="dxa"/>
            <w:vAlign w:val="center"/>
          </w:tcPr>
          <w:p w14:paraId="2BE9B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611" w:type="dxa"/>
            <w:vAlign w:val="center"/>
          </w:tcPr>
          <w:p w14:paraId="0B929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承接机构</w:t>
            </w:r>
          </w:p>
        </w:tc>
        <w:tc>
          <w:tcPr>
            <w:tcW w:w="840" w:type="dxa"/>
            <w:vAlign w:val="center"/>
          </w:tcPr>
          <w:p w14:paraId="7ABC8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总分</w:t>
            </w:r>
          </w:p>
        </w:tc>
      </w:tr>
      <w:tr w14:paraId="26F07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7A673B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XS002</w:t>
            </w:r>
          </w:p>
        </w:tc>
        <w:tc>
          <w:tcPr>
            <w:tcW w:w="2578" w:type="dxa"/>
            <w:vAlign w:val="center"/>
          </w:tcPr>
          <w:p w14:paraId="09B62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“暖心计划”计生家庭增能融合服务项目</w:t>
            </w:r>
          </w:p>
        </w:tc>
        <w:tc>
          <w:tcPr>
            <w:tcW w:w="3611" w:type="dxa"/>
            <w:vAlign w:val="center"/>
          </w:tcPr>
          <w:p w14:paraId="338350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杭州市余杭区文泽社会组织服务中心</w:t>
            </w:r>
          </w:p>
        </w:tc>
        <w:tc>
          <w:tcPr>
            <w:tcW w:w="840" w:type="dxa"/>
            <w:vAlign w:val="center"/>
          </w:tcPr>
          <w:p w14:paraId="6CC6CD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83</w:t>
            </w:r>
          </w:p>
        </w:tc>
      </w:tr>
      <w:tr w14:paraId="74CE9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3DC2E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XS003</w:t>
            </w:r>
          </w:p>
        </w:tc>
        <w:tc>
          <w:tcPr>
            <w:tcW w:w="2578" w:type="dxa"/>
            <w:vAlign w:val="center"/>
          </w:tcPr>
          <w:p w14:paraId="589C9B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“小苗驿站”婴幼儿照护和发展建设项目</w:t>
            </w:r>
          </w:p>
        </w:tc>
        <w:tc>
          <w:tcPr>
            <w:tcW w:w="3611" w:type="dxa"/>
            <w:vAlign w:val="center"/>
          </w:tcPr>
          <w:p w14:paraId="2D022C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杭州市钱塘区下沙街道早城社区早春社社会组织服务中心</w:t>
            </w:r>
          </w:p>
        </w:tc>
        <w:tc>
          <w:tcPr>
            <w:tcW w:w="840" w:type="dxa"/>
            <w:vAlign w:val="center"/>
          </w:tcPr>
          <w:p w14:paraId="7139B1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81</w:t>
            </w:r>
          </w:p>
        </w:tc>
      </w:tr>
      <w:tr w14:paraId="4749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2859E1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XS004</w:t>
            </w:r>
          </w:p>
        </w:tc>
        <w:tc>
          <w:tcPr>
            <w:tcW w:w="2578" w:type="dxa"/>
            <w:vAlign w:val="center"/>
          </w:tcPr>
          <w:p w14:paraId="2B423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“家有救星”社企融合服务项目</w:t>
            </w:r>
          </w:p>
        </w:tc>
        <w:tc>
          <w:tcPr>
            <w:tcW w:w="3611" w:type="dxa"/>
            <w:vAlign w:val="center"/>
          </w:tcPr>
          <w:p w14:paraId="52E6E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杭州市钱塘区红十字杭蓝救援队</w:t>
            </w:r>
          </w:p>
        </w:tc>
        <w:tc>
          <w:tcPr>
            <w:tcW w:w="840" w:type="dxa"/>
            <w:vAlign w:val="center"/>
          </w:tcPr>
          <w:p w14:paraId="405E76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83</w:t>
            </w:r>
          </w:p>
        </w:tc>
      </w:tr>
      <w:tr w14:paraId="68FEB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1412D9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2024XS005</w:t>
            </w:r>
          </w:p>
        </w:tc>
        <w:tc>
          <w:tcPr>
            <w:tcW w:w="2578" w:type="dxa"/>
            <w:vAlign w:val="center"/>
          </w:tcPr>
          <w:p w14:paraId="104241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“小沙励”助力居民就业共富项目</w:t>
            </w:r>
          </w:p>
        </w:tc>
        <w:tc>
          <w:tcPr>
            <w:tcW w:w="3611" w:type="dxa"/>
            <w:vAlign w:val="center"/>
          </w:tcPr>
          <w:p w14:paraId="02B1B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杭州市钱塘区下沙街道湾南社区社会组织服务中心</w:t>
            </w:r>
          </w:p>
        </w:tc>
        <w:tc>
          <w:tcPr>
            <w:tcW w:w="840" w:type="dxa"/>
            <w:vAlign w:val="center"/>
          </w:tcPr>
          <w:p w14:paraId="16F16C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82</w:t>
            </w:r>
          </w:p>
        </w:tc>
      </w:tr>
      <w:tr w14:paraId="07E51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95" w:type="dxa"/>
            <w:vAlign w:val="center"/>
          </w:tcPr>
          <w:p w14:paraId="3BF474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2024XS007</w:t>
            </w:r>
          </w:p>
        </w:tc>
        <w:tc>
          <w:tcPr>
            <w:tcW w:w="2578" w:type="dxa"/>
            <w:vAlign w:val="center"/>
          </w:tcPr>
          <w:p w14:paraId="6EE7D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“暖益度”助力残疾人发展项目</w:t>
            </w:r>
          </w:p>
        </w:tc>
        <w:tc>
          <w:tcPr>
            <w:tcW w:w="3611" w:type="dxa"/>
            <w:vAlign w:val="center"/>
          </w:tcPr>
          <w:p w14:paraId="1F5CEE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杭州市钱塘区七色花妇女儿童成长中心</w:t>
            </w:r>
          </w:p>
        </w:tc>
        <w:tc>
          <w:tcPr>
            <w:tcW w:w="840" w:type="dxa"/>
            <w:vAlign w:val="center"/>
          </w:tcPr>
          <w:p w14:paraId="37C11D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81</w:t>
            </w:r>
          </w:p>
        </w:tc>
      </w:tr>
    </w:tbl>
    <w:p w14:paraId="77D99624">
      <w:pPr>
        <w:pStyle w:val="6"/>
        <w:rPr>
          <w:rFonts w:hint="eastAsia"/>
          <w:lang w:val="en-US" w:eastAsia="zh-CN"/>
        </w:rPr>
      </w:pPr>
    </w:p>
    <w:p w14:paraId="7B84C60A">
      <w:pPr>
        <w:keepNext/>
        <w:keepLines/>
        <w:numPr>
          <w:ilvl w:val="0"/>
          <w:numId w:val="4"/>
        </w:numPr>
        <w:spacing w:line="360" w:lineRule="auto"/>
        <w:outlineLvl w:val="1"/>
        <w:rPr>
          <w:rFonts w:ascii="宋体" w:hAnsi="宋体" w:cs="宋体"/>
          <w:b/>
          <w:bCs w:val="0"/>
          <w:iCs/>
          <w:sz w:val="24"/>
          <w:szCs w:val="24"/>
        </w:rPr>
      </w:pPr>
      <w:bookmarkStart w:id="13" w:name="_Toc30123"/>
      <w:r>
        <w:rPr>
          <w:rFonts w:hint="eastAsia" w:ascii="宋体" w:hAnsi="宋体" w:cs="宋体"/>
          <w:b/>
          <w:bCs w:val="0"/>
          <w:iCs/>
          <w:sz w:val="24"/>
          <w:szCs w:val="24"/>
        </w:rPr>
        <w:t>项目</w:t>
      </w:r>
      <w:r>
        <w:rPr>
          <w:rFonts w:hint="eastAsia" w:ascii="宋体" w:hAnsi="宋体" w:cs="宋体"/>
          <w:b/>
          <w:bCs w:val="0"/>
          <w:iCs/>
          <w:sz w:val="24"/>
          <w:szCs w:val="24"/>
          <w:lang w:val="en-US" w:eastAsia="zh-CN"/>
        </w:rPr>
        <w:t>末</w:t>
      </w:r>
      <w:r>
        <w:rPr>
          <w:rFonts w:hint="eastAsia" w:ascii="宋体" w:hAnsi="宋体" w:cs="宋体"/>
          <w:b/>
          <w:bCs w:val="0"/>
          <w:iCs/>
          <w:sz w:val="24"/>
          <w:szCs w:val="24"/>
        </w:rPr>
        <w:t>期检查问题描述</w:t>
      </w:r>
      <w:bookmarkEnd w:id="13"/>
    </w:p>
    <w:p w14:paraId="77CCB0E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自各项目立项以来，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各项目方</w:t>
      </w:r>
      <w:r>
        <w:rPr>
          <w:rFonts w:hint="eastAsia" w:ascii="宋体" w:hAnsi="宋体" w:cs="宋体"/>
          <w:color w:val="auto"/>
          <w:sz w:val="24"/>
          <w:szCs w:val="24"/>
        </w:rPr>
        <w:t>严格按照项目书的要求和规划开展了相关活动。通过团队的共同努力以及社会各界的支持与配合，这些项目已经取得了一定的成果，并且在一定程度上满足了服务对象的需求。这不仅体现在直接提供的服务质量上，也反映在了服务对象对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各项目方</w:t>
      </w:r>
      <w:r>
        <w:rPr>
          <w:rFonts w:hint="eastAsia" w:ascii="宋体" w:hAnsi="宋体" w:cs="宋体"/>
          <w:color w:val="auto"/>
          <w:sz w:val="24"/>
          <w:szCs w:val="24"/>
        </w:rPr>
        <w:t>的认可度上。与此同时，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各项目方</w:t>
      </w:r>
      <w:r>
        <w:rPr>
          <w:rFonts w:hint="eastAsia" w:ascii="宋体" w:hAnsi="宋体" w:cs="宋体"/>
          <w:color w:val="auto"/>
          <w:sz w:val="24"/>
          <w:szCs w:val="24"/>
        </w:rPr>
        <w:t>也意识到，为了更好地服务于社会、帮助到更多需要帮助的人，仅仅满足于现状是不够的。因此，在执行过程中，各项目组积极探索如何更深层次地理解并响应服务对象的需求。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各项目方</w:t>
      </w:r>
      <w:r>
        <w:rPr>
          <w:rFonts w:hint="eastAsia" w:ascii="宋体" w:hAnsi="宋体" w:cs="宋体"/>
          <w:color w:val="auto"/>
          <w:sz w:val="24"/>
          <w:szCs w:val="24"/>
        </w:rPr>
        <w:t>开展深入调研，收集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居民</w:t>
      </w:r>
      <w:r>
        <w:rPr>
          <w:rFonts w:hint="eastAsia" w:ascii="宋体" w:hAnsi="宋体" w:cs="宋体"/>
          <w:color w:val="auto"/>
          <w:sz w:val="24"/>
          <w:szCs w:val="24"/>
        </w:rPr>
        <w:t>反馈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不断</w:t>
      </w:r>
      <w:r>
        <w:rPr>
          <w:rFonts w:hint="eastAsia" w:ascii="宋体" w:hAnsi="宋体" w:cs="宋体"/>
          <w:color w:val="auto"/>
          <w:sz w:val="24"/>
          <w:szCs w:val="24"/>
        </w:rPr>
        <w:t>加强与其他机构或组织之间的合作交流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</w:rPr>
        <w:t>以增强项目的可持续性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</w:rPr>
        <w:t>然而，值得注意的是，尽管取得了不少成绩，但在实际操作层面仍存在一些亟待解决的问题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 w14:paraId="71CD2FD0">
      <w:pPr>
        <w:numPr>
          <w:ilvl w:val="0"/>
          <w:numId w:val="5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项目方面，主要表现在以下几个方面：</w:t>
      </w:r>
    </w:p>
    <w:p w14:paraId="1EA813E2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）</w:t>
      </w:r>
      <w:r>
        <w:rPr>
          <w:rFonts w:hint="eastAsia" w:ascii="宋体" w:hAnsi="宋体" w:cs="宋体"/>
          <w:color w:val="auto"/>
          <w:sz w:val="24"/>
          <w:szCs w:val="24"/>
        </w:rPr>
        <w:t>资源配置不够均衡：部分项目由于宣传力度不足等原因，导致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服务效果覆盖面较弱，服务对象参与度不高</w:t>
      </w:r>
      <w:r>
        <w:rPr>
          <w:rFonts w:hint="eastAsia" w:ascii="宋体" w:hAnsi="宋体" w:cs="宋体"/>
          <w:color w:val="auto"/>
          <w:sz w:val="24"/>
          <w:szCs w:val="24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如</w:t>
      </w:r>
      <w:r>
        <w:rPr>
          <w:rFonts w:hint="eastAsia" w:ascii="宋体" w:hAnsi="宋体" w:eastAsia="宋体" w:cs="宋体"/>
          <w:color w:val="auto"/>
          <w:kern w:val="0"/>
          <w:sz w:val="24"/>
          <w:lang w:bidi="ar"/>
        </w:rPr>
        <w:t>“暖心计划”计生家庭增能融合服务项目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有个别活动覆盖计生家庭人数数量不足总人数的50%；</w:t>
      </w:r>
      <w:r>
        <w:rPr>
          <w:rFonts w:hint="eastAsia" w:ascii="宋体" w:hAnsi="宋体" w:eastAsia="宋体" w:cs="宋体"/>
          <w:color w:val="auto"/>
          <w:kern w:val="0"/>
          <w:sz w:val="24"/>
          <w:lang w:bidi="ar"/>
        </w:rPr>
        <w:t>“小苗驿站”婴幼儿照护和发展建设项目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中面向儿童主任开展活动参与人员较少，覆盖面不广。</w:t>
      </w:r>
    </w:p>
    <w:p w14:paraId="28A9839A">
      <w:pPr>
        <w:pStyle w:val="6"/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Hans" w:bidi="ar-SA"/>
        </w:rPr>
        <w:t>部分项目项目档案管理规范性欠缺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，或需补充材料。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例如，</w:t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  <w:t>“家有救星”社企融合服务项目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缺少相关的线上宣传材料，</w:t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  <w:t>“聚善下沙”社区1516便民市集项目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相关的台账总体充分完整，但少部分材料缺乏整体计划安排。</w:t>
      </w:r>
    </w:p>
    <w:p w14:paraId="6B935D0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lang w:val="en-US" w:eastAsia="zh-Hans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lang w:val="en-US" w:eastAsia="zh-Hans" w:bidi="ar"/>
        </w:rPr>
        <w:t>2.财务方面，主要表现在以下几个方面：</w:t>
      </w:r>
    </w:p>
    <w:p w14:paraId="7AFEA7ED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  <w:t>（1）财务发票未及时入账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Hans" w:bidi="ar"/>
        </w:rPr>
        <w:t>或财务材料不齐全。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  <w:t>如“荟沙有邻”社区共建共融服务项目2024年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Hans" w:bidi="ar"/>
        </w:rPr>
        <w:t>12月活动物资发票19524.13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  <w:t>元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Hans" w:bidi="ar"/>
        </w:rPr>
        <w:t>，缺少物资详细清单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  <w:t>，“家有救星”社企融合服务项目2024年1月打款的代理记账费300元未明确标注4月份财务代记账需要补充说明。如“小沙励”助力居民就业共富项目“小苗驿站”社区文化共富建设项目</w:t>
      </w:r>
      <w:r>
        <w:rPr>
          <w:rFonts w:hint="eastAsia" w:ascii="宋体" w:hAnsi="宋体" w:cs="宋体"/>
          <w:b w:val="0"/>
          <w:color w:val="auto"/>
          <w:kern w:val="0"/>
          <w:sz w:val="24"/>
          <w:szCs w:val="24"/>
          <w:lang w:val="en-US" w:eastAsia="zh-CN" w:bidi="ar"/>
        </w:rPr>
        <w:t>因社会组织原始资金不足暂未入账。</w:t>
      </w:r>
    </w:p>
    <w:p w14:paraId="267A222B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80" w:firstLineChars="200"/>
        <w:textAlignment w:val="auto"/>
        <w:rPr>
          <w:rFonts w:hint="default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  <w:t>（2）部分项目财务附件不完整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Hans" w:bidi="ar"/>
        </w:rPr>
        <w:t>，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  <w:t>存在缺失必要财务附件的问题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Hans" w:bidi="ar"/>
        </w:rPr>
        <w:t>。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  <w:t>“小苗驿站”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18"/>
          <w:lang w:val="en-US" w:eastAsia="zh-CN" w:bidi="ar"/>
        </w:rPr>
        <w:t>社区文化共富建设项目中部分报销单无经办人、证明人、审批人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"/>
        </w:rPr>
        <w:t>签字，“花田依旧在”仍存在专家缺少资质证明；物资发放缺少签收单等相关附件。</w:t>
      </w:r>
    </w:p>
    <w:p w14:paraId="7815CBC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color w:val="FF0000"/>
          <w:kern w:val="0"/>
          <w:sz w:val="24"/>
          <w:szCs w:val="24"/>
          <w:lang w:val="en-US" w:eastAsia="zh-CN" w:bidi="ar"/>
        </w:rPr>
      </w:pPr>
    </w:p>
    <w:p w14:paraId="00F52DA4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518A9B6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jc w:val="center"/>
        <w:textAlignment w:val="auto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“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荟沙有邻”社区共建共融服务项目</w:t>
      </w:r>
    </w:p>
    <w:p w14:paraId="48C10C13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从项目档案审核来看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开展社区融合活动12场；开展“潮领美好生活”大型融合服务活动2场。服务人次高达291人，完成市级以及上媒体宣传2篇。</w:t>
      </w:r>
    </w:p>
    <w:p w14:paraId="322955B2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Hans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从财务管理来看，经费使用总计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60004.74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2024年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12月活动物资发票19524.13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，缺少物资详细清单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其中一笔700元的专家费，由于专家银行卡失效无法打款，因此将这笔钱转给第三人，由第三人支付宝转给专家本人，附有支付宝转账截图。</w:t>
      </w:r>
    </w:p>
    <w:p w14:paraId="350830A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291465</wp:posOffset>
            </wp:positionV>
            <wp:extent cx="5080000" cy="3216275"/>
            <wp:effectExtent l="4445" t="4445" r="8255" b="5080"/>
            <wp:wrapNone/>
            <wp:docPr id="110" name="图表 1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14:paraId="3210AF14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8C43458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eastAsia="zh-Hans" w:bidi="ar"/>
        </w:rPr>
      </w:pPr>
    </w:p>
    <w:p w14:paraId="24D3DD27">
      <w:pPr>
        <w:pStyle w:val="6"/>
        <w:spacing w:line="360" w:lineRule="auto"/>
        <w:ind w:firstLine="480" w:firstLineChars="200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601FEED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 w:bidi="ar"/>
        </w:rPr>
      </w:pPr>
    </w:p>
    <w:p w14:paraId="27E6A130"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bCs w:val="0"/>
          <w:i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244BB01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“暖心计划”计生家庭增能融合服务项目</w:t>
      </w:r>
    </w:p>
    <w:p w14:paraId="71A5814B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从项目档案审核来看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项目累计开展日常关怀服务36次、情感支持小组活动8次、技能提升小组活动8次、社会融入活动6次，活动人数58人，累计服务人次242人。</w:t>
      </w:r>
    </w:p>
    <w:p w14:paraId="3F7423B2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从财务管理来看，经费使用总计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54191.58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项目整体财务状况良好，其中人员工资超过50%的部分为4000元，扣除。</w:t>
      </w:r>
    </w:p>
    <w:p w14:paraId="002C8FEC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3C8AA9E7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46990</wp:posOffset>
            </wp:positionV>
            <wp:extent cx="5080000" cy="3216275"/>
            <wp:effectExtent l="4445" t="4445" r="8255" b="5080"/>
            <wp:wrapNone/>
            <wp:docPr id="328" name="图表 3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14:paraId="639951B4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5DBCC58D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2312293A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21C8F089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6DD57902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43E92ED4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0AAEB486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5C820EAF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40CB7D31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14ABC665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29150D3C">
      <w:pPr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br w:type="page"/>
      </w:r>
    </w:p>
    <w:p w14:paraId="4E13E48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“</w:t>
      </w:r>
      <w:r>
        <w:rPr>
          <w:rFonts w:hint="eastAsia" w:ascii="仿宋" w:hAnsi="仿宋" w:eastAsia="仿宋" w:cs="仿宋"/>
          <w:b/>
          <w:sz w:val="22"/>
          <w:szCs w:val="22"/>
          <w:lang w:val="en-US" w:eastAsia="zh-CN"/>
        </w:rPr>
        <w:t>小苗驿站</w:t>
      </w:r>
      <w:r>
        <w:rPr>
          <w:rFonts w:hint="eastAsia" w:ascii="仿宋" w:hAnsi="仿宋" w:eastAsia="仿宋" w:cs="仿宋"/>
          <w:b/>
          <w:sz w:val="22"/>
          <w:szCs w:val="22"/>
        </w:rPr>
        <w:t>”社区文化共富建设项目</w:t>
      </w:r>
    </w:p>
    <w:p w14:paraId="313F28D3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从项目档案审核来看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小苗”启能活动开展50次，服务450人次；“小苗”培能活动开展12次，服务126人次；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小苗”聚能活动开展2次，服务20人次；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小苗”育能活动开展20次，服务60人次。完成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小苗驿站”社区发展手册制作，完成市级媒体报道2篇。本项目覆盖面不广，未覆盖到21个社区。</w:t>
      </w:r>
    </w:p>
    <w:p w14:paraId="7AB38B8E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从财务管理来看，经费使用总计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60003.6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会计核算不规范，创投项目不是捐赠收入；管理费用超支14.52元，扣除；部分报销单无经办人、证明人、审批人签字；其中专家费2500元、2000元，志愿者费1220元，宣传费2342元，物资1224.43元、328.97元，办公用品565元，交通费543.10元、556.40元、680.20元未支付（由于该项目账户无原始资金，账户资金不足，未支付款项将于末期拨款后支付）。</w:t>
      </w:r>
    </w:p>
    <w:p w14:paraId="1B484994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</w:pPr>
    </w:p>
    <w:p w14:paraId="3266658B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104140</wp:posOffset>
            </wp:positionH>
            <wp:positionV relativeFrom="paragraph">
              <wp:posOffset>63500</wp:posOffset>
            </wp:positionV>
            <wp:extent cx="5080000" cy="3216275"/>
            <wp:effectExtent l="4445" t="4445" r="8255" b="5080"/>
            <wp:wrapNone/>
            <wp:docPr id="329" name="图表 3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14:paraId="4FB05080">
      <w:pPr>
        <w:jc w:val="center"/>
        <w:rPr>
          <w:rFonts w:hint="eastAsia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708FA7B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2"/>
          <w:szCs w:val="22"/>
          <w:lang w:val="en-US" w:eastAsia="zh-CN"/>
        </w:rPr>
        <w:t>“家有救星”社企融合服务项目</w:t>
      </w:r>
    </w:p>
    <w:p w14:paraId="5E6C7C03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从项目档案审核来看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开展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急救培训普及20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场，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急救演练4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场，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消防演练4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场，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消防逃生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演练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场，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防溺水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演练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场，组建志愿队伍，完成安全手册制作。</w:t>
      </w:r>
    </w:p>
    <w:p w14:paraId="32603E68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Hans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从财务管理来看，经费使用总计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60000.43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其中2024年1月打款的代理记账费300元未明确标注4月份财务代记账，需要补充说明。</w:t>
      </w:r>
    </w:p>
    <w:p w14:paraId="5FD64C88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</w:p>
    <w:p w14:paraId="21F3FE71">
      <w:pPr>
        <w:jc w:val="center"/>
        <w:rPr>
          <w:rFonts w:hint="eastAsia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6350</wp:posOffset>
            </wp:positionV>
            <wp:extent cx="5080000" cy="3216275"/>
            <wp:effectExtent l="4445" t="4445" r="8255" b="5080"/>
            <wp:wrapNone/>
            <wp:docPr id="330" name="图表 3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14:paraId="2CCDEC6C">
      <w:pPr>
        <w:jc w:val="center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5A1E3225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2"/>
          <w:szCs w:val="22"/>
          <w:lang w:val="en-US" w:eastAsia="zh-CN"/>
        </w:rPr>
        <w:t>“小沙励”助力居民就业共富项目</w:t>
      </w:r>
    </w:p>
    <w:p w14:paraId="3A574013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从项目档案审核来看，开展技能培训30次，服务350人次，多开展6次活动;总结项目经验1次，完成区级及以上媒体宣传2篇（浙江在线、杭州日报）。</w:t>
      </w:r>
    </w:p>
    <w:p w14:paraId="4090811D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从财务管理来看，经费使用总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计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59920.33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其中会计核算不规范、创投项目不是捐赠收入，项目未独立核算，支出全部在“其他应付款”核算；专家未按次签到；缺少12月份全部打款回单（由于该项目账户无原始资金，账户资金不足，未支付款项将于末期拨款后支付）。</w:t>
      </w:r>
    </w:p>
    <w:p w14:paraId="64DA7E09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</w:p>
    <w:p w14:paraId="314515BB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101600</wp:posOffset>
            </wp:positionV>
            <wp:extent cx="5080000" cy="3216275"/>
            <wp:effectExtent l="4445" t="4445" r="8255" b="5080"/>
            <wp:wrapNone/>
            <wp:docPr id="331" name="图表 3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14:paraId="064924F9">
      <w:pPr>
        <w:pStyle w:val="6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699A214">
      <w:pPr>
        <w:pStyle w:val="6"/>
        <w:rPr>
          <w:rFonts w:hint="eastAsia" w:ascii="宋体" w:hAnsi="宋体" w:cs="宋体"/>
          <w:sz w:val="24"/>
          <w:szCs w:val="24"/>
        </w:rPr>
      </w:pPr>
    </w:p>
    <w:p w14:paraId="017E752F">
      <w:pPr>
        <w:pStyle w:val="3"/>
        <w:numPr>
          <w:ilvl w:val="0"/>
          <w:numId w:val="0"/>
        </w:numPr>
        <w:spacing w:line="360" w:lineRule="auto"/>
        <w:ind w:left="420" w:leftChars="0"/>
        <w:outlineLvl w:val="9"/>
        <w:rPr>
          <w:rFonts w:hint="eastAsia" w:ascii="宋体" w:hAnsi="宋体" w:eastAsia="宋体" w:cs="宋体"/>
          <w:b/>
          <w:bCs w:val="0"/>
          <w:i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1C7F3D2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2"/>
          <w:szCs w:val="22"/>
          <w:lang w:val="en-US" w:eastAsia="zh-CN"/>
        </w:rPr>
        <w:t xml:space="preserve">“聚善下沙”社区1516便民市集项目    </w:t>
      </w:r>
    </w:p>
    <w:p w14:paraId="048C49BB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从项目档案审核来看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开展聚善下沙社区1516便民市集项目42场，累计服务人次高达3772次，组建爱心小分队开展高龄老人就医、出行等服务10次，开展新志愿者内部培训2次，完成市集媒体宣传2篇，拍摄完成4分钟的活动视频，满意度调查报告显示居民的满意度不低于85%。但是缺少项目的末期评估报告。</w:t>
      </w:r>
    </w:p>
    <w:p w14:paraId="20D7A221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从财务管理来看，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经费使用总计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71148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Hans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项目整体财务情况良好。</w:t>
      </w:r>
    </w:p>
    <w:p w14:paraId="4027AC20">
      <w:pPr>
        <w:pStyle w:val="6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</w:p>
    <w:p w14:paraId="2D58A1B9">
      <w:pPr>
        <w:pStyle w:val="6"/>
        <w:rPr>
          <w:rFonts w:hint="eastAsia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100330</wp:posOffset>
            </wp:positionV>
            <wp:extent cx="5080000" cy="3216275"/>
            <wp:effectExtent l="4445" t="4445" r="8255" b="5080"/>
            <wp:wrapNone/>
            <wp:docPr id="333" name="图表 3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14:paraId="5BB10E2B">
      <w:pPr>
        <w:tabs>
          <w:tab w:val="center" w:pos="4153"/>
          <w:tab w:val="right" w:pos="8306"/>
        </w:tabs>
        <w:snapToGrid w:val="0"/>
        <w:spacing w:line="360" w:lineRule="auto"/>
        <w:ind w:left="420" w:leftChars="200"/>
        <w:jc w:val="left"/>
        <w:rPr>
          <w:rFonts w:hint="eastAsia" w:ascii="宋体" w:hAnsi="宋体" w:cs="宋体"/>
          <w:sz w:val="24"/>
          <w:szCs w:val="24"/>
        </w:rPr>
      </w:pPr>
    </w:p>
    <w:p w14:paraId="684DD427">
      <w:pPr>
        <w:pStyle w:val="3"/>
        <w:numPr>
          <w:ilvl w:val="0"/>
          <w:numId w:val="0"/>
        </w:numPr>
        <w:spacing w:line="360" w:lineRule="auto"/>
        <w:ind w:left="420" w:leftChars="0"/>
        <w:outlineLvl w:val="9"/>
        <w:rPr>
          <w:rFonts w:hint="eastAsia" w:ascii="宋体" w:hAnsi="宋体" w:eastAsia="宋体" w:cs="宋体"/>
          <w:b/>
          <w:bCs w:val="0"/>
          <w:i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6474EB6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2"/>
          <w:szCs w:val="22"/>
          <w:lang w:val="en-US" w:eastAsia="zh-CN"/>
        </w:rPr>
        <w:t>“暖益度“助力残疾人发展项目</w:t>
      </w:r>
    </w:p>
    <w:p w14:paraId="68BA05D0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从项目档案审核来看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完成残疾人专业康复训练10场，开展社会融入活动6场，受益人数207人次。完成市级媒体1篇，区级媒体1篇。共富模式缺少单页宣传稿，缺少前期交流相应的台账。</w:t>
      </w:r>
    </w:p>
    <w:p w14:paraId="3A8BFE3E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从财务管理来看，经费使用总计48550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Hans"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。其中项目活动时间为1.5h，但是志愿者补贴发100元，不合理，因此扣除1450元；缺少2024年10月-12月工资社保、凭证和银行回单；缺少2024年10月-12月银行打款回单。</w:t>
      </w:r>
    </w:p>
    <w:p w14:paraId="64B0DC63">
      <w:pPr>
        <w:pStyle w:val="6"/>
        <w:spacing w:line="360" w:lineRule="auto"/>
        <w:ind w:firstLine="480" w:firstLineChars="200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28E07A8">
      <w:pP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34290</wp:posOffset>
            </wp:positionV>
            <wp:extent cx="5080000" cy="3216275"/>
            <wp:effectExtent l="4445" t="4445" r="8255" b="5080"/>
            <wp:wrapNone/>
            <wp:docPr id="334" name="图表 3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br w:type="page"/>
      </w:r>
    </w:p>
    <w:p w14:paraId="34FD02E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2"/>
          <w:szCs w:val="22"/>
          <w:lang w:val="en-US" w:eastAsia="zh-CN"/>
        </w:rPr>
        <w:t>“青葵伙伴”青少年家社成长共育项目</w:t>
      </w:r>
    </w:p>
    <w:p w14:paraId="60AF9803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bidi="ar"/>
        </w:rPr>
        <w:t>从项目档案审核来看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开展青少年家社融合共建主题活动6场；开展青少年发展主题小组活动20次，包括绿色生活创新小组5次，非遗技能传承小组5次，传统文化发展小组5次，技能实践小组5次；开展青少年社区议事活动8场，市级媒体宣传2次。整体项目完成度100%，覆盖元成、新元社区，产出技能手册（防洪防涝、防火逃生）2份，充分联动周边企业，开展职业体验活动。</w:t>
      </w:r>
    </w:p>
    <w:p w14:paraId="1A7E1068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440" w:firstLineChars="200"/>
        <w:textAlignment w:val="auto"/>
        <w:sectPr>
          <w:footerReference r:id="rId7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"/>
        </w:rPr>
        <w:t>从财务</w:t>
      </w:r>
      <w:bookmarkStart w:id="14" w:name="_GoBack"/>
      <w:bookmarkEnd w:id="14"/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bidi="a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35560</wp:posOffset>
            </wp:positionV>
            <wp:extent cx="5080000" cy="3216275"/>
            <wp:effectExtent l="4445" t="4445" r="8255" b="5080"/>
            <wp:wrapNone/>
            <wp:docPr id="337" name="图表 3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14:paraId="3D2D6F8B">
      <w:pPr>
        <w:pStyle w:val="2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94E7A">
    <w:pPr>
      <w:pStyle w:val="6"/>
      <w:tabs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56" name="文本框 3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D57692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- 317 -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Aoc/z8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D57692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- 317 -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96E2F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1" name="文本框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B567D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jWXXczAgAAYwQAAA4AAABkcnMvZTJvRG9jLnhtbK1UzY7TMBC+I/EO&#10;lu80bdGu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HjWXXc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B567D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94991"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0" name="文本框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38924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zQpds0AgAAZQQAAA4AAABkcnMvZTJvRG9jLnhtbK1UzY7TMBC+I/EO&#10;lu80aRdW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C80KXb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38924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39C77D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D21FF">
    <w:pPr>
      <w:pStyle w:val="7"/>
      <w:pBdr>
        <w:bottom w:val="none" w:color="auto" w:sz="0" w:space="1"/>
      </w:pBdr>
      <w:rPr>
        <w:b/>
        <w:bCs/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49F34">
    <w:pPr>
      <w:pStyle w:val="7"/>
      <w:pBdr>
        <w:bottom w:val="none" w:color="auto" w:sz="0" w:space="1"/>
      </w:pBdr>
      <w:rPr>
        <w:rFonts w:hint="eastAsia" w:ascii="宋体" w:hAnsi="宋体" w:cs="宋体"/>
        <w:b/>
        <w:bCs/>
        <w:sz w:val="21"/>
        <w:szCs w:val="21"/>
        <w:lang w:val="en-US" w:eastAsia="zh-CN"/>
      </w:rPr>
    </w:pPr>
  </w:p>
  <w:p w14:paraId="4289E99E">
    <w:pPr>
      <w:pStyle w:val="7"/>
      <w:pBdr>
        <w:bottom w:val="none" w:color="auto" w:sz="0" w:space="1"/>
      </w:pBd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55308A"/>
    <w:multiLevelType w:val="singleLevel"/>
    <w:tmpl w:val="CB55308A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D1DB8055"/>
    <w:multiLevelType w:val="singleLevel"/>
    <w:tmpl w:val="D1DB805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07D7D817"/>
    <w:multiLevelType w:val="singleLevel"/>
    <w:tmpl w:val="07D7D8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AF95D98"/>
    <w:multiLevelType w:val="singleLevel"/>
    <w:tmpl w:val="3AF95D9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7404459F"/>
    <w:multiLevelType w:val="singleLevel"/>
    <w:tmpl w:val="7404459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E7DF9"/>
    <w:rsid w:val="0F9E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360" w:lineRule="auto"/>
      <w:outlineLvl w:val="0"/>
    </w:pPr>
    <w:rPr>
      <w:rFonts w:ascii="黑体" w:hAnsi="黑体" w:eastAsia="黑体" w:cs="黑体"/>
      <w:b/>
      <w:sz w:val="28"/>
      <w:szCs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0"/>
    <w:pPr>
      <w:autoSpaceDE w:val="0"/>
      <w:autoSpaceDN w:val="0"/>
      <w:spacing w:line="360" w:lineRule="atLeast"/>
    </w:pPr>
    <w:rPr>
      <w:rFonts w:ascii="仿宋_GB2312"/>
      <w:color w:val="FF0000"/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1">
    <w:name w:val="正文1"/>
    <w:basedOn w:val="1"/>
    <w:qFormat/>
    <w:uiPriority w:val="0"/>
    <w:pPr>
      <w:spacing w:line="480" w:lineRule="exact"/>
      <w:ind w:firstLine="240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chart" Target="charts/chart8.xml"/><Relationship Id="rId15" Type="http://schemas.openxmlformats.org/officeDocument/2006/relationships/chart" Target="charts/chart7.xml"/><Relationship Id="rId14" Type="http://schemas.openxmlformats.org/officeDocument/2006/relationships/chart" Target="charts/chart6.xml"/><Relationship Id="rId13" Type="http://schemas.openxmlformats.org/officeDocument/2006/relationships/chart" Target="charts/chart5.xml"/><Relationship Id="rId12" Type="http://schemas.openxmlformats.org/officeDocument/2006/relationships/chart" Target="charts/chart4.xml"/><Relationship Id="rId11" Type="http://schemas.openxmlformats.org/officeDocument/2006/relationships/chart" Target="charts/chart3.xml"/><Relationship Id="rId10" Type="http://schemas.openxmlformats.org/officeDocument/2006/relationships/chart" Target="charts/chart2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8.xml"/><Relationship Id="rId2" Type="http://schemas.microsoft.com/office/2011/relationships/chartStyle" Target="style8.xml"/><Relationship Id="rId1" Type="http://schemas.openxmlformats.org/officeDocument/2006/relationships/package" Target="../embeddings/Workbook8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7.xml"/><Relationship Id="rId2" Type="http://schemas.microsoft.com/office/2011/relationships/chartStyle" Target="style7.xml"/><Relationship Id="rId1" Type="http://schemas.openxmlformats.org/officeDocument/2006/relationships/package" Target="../embeddings/Workbook7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package" Target="../embeddings/Workbook2.xlsx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package" Target="../embeddings/Workbook3.xlsx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package" Target="../embeddings/Workbook6.xlsx"/></Relationships>
</file>

<file path=word/charts/_rels/chart7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package" Target="../embeddings/Workbook5.xlsx"/></Relationships>
</file>

<file path=word/charts/_rels/chart8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package" Target="../embeddings/Workbook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板块分数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37</c:v>
                </c:pt>
                <c:pt idx="1">
                  <c:v>10</c:v>
                </c:pt>
                <c:pt idx="2">
                  <c:v>29</c:v>
                </c:pt>
                <c:pt idx="3">
                  <c:v>5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项目分数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32</c:v>
                </c:pt>
                <c:pt idx="1">
                  <c:v>9</c:v>
                </c:pt>
                <c:pt idx="2">
                  <c:v>26</c:v>
                </c:pt>
                <c:pt idx="3">
                  <c:v>2</c:v>
                </c:pt>
                <c:pt idx="4">
                  <c:v>21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8401690"/>
        <c:axId val="333419857"/>
      </c:barChart>
      <c:catAx>
        <c:axId val="884016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3419857"/>
        <c:crosses val="autoZero"/>
        <c:auto val="1"/>
        <c:lblAlgn val="ctr"/>
        <c:lblOffset val="100"/>
        <c:noMultiLvlLbl val="0"/>
      </c:catAx>
      <c:valAx>
        <c:axId val="33341985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4016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0a51360-471d-4dc6-ab4b-abb6db464ff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板块分数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37</c:v>
                </c:pt>
                <c:pt idx="1">
                  <c:v>10</c:v>
                </c:pt>
                <c:pt idx="2">
                  <c:v>29</c:v>
                </c:pt>
                <c:pt idx="3">
                  <c:v>5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项目分数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28</c:v>
                </c:pt>
                <c:pt idx="1">
                  <c:v>9</c:v>
                </c:pt>
                <c:pt idx="2">
                  <c:v>22</c:v>
                </c:pt>
                <c:pt idx="3">
                  <c:v>2</c:v>
                </c:pt>
                <c:pt idx="4">
                  <c:v>22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8401690"/>
        <c:axId val="333419857"/>
      </c:barChart>
      <c:catAx>
        <c:axId val="884016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3419857"/>
        <c:crosses val="autoZero"/>
        <c:auto val="1"/>
        <c:lblAlgn val="ctr"/>
        <c:lblOffset val="100"/>
        <c:noMultiLvlLbl val="0"/>
      </c:catAx>
      <c:valAx>
        <c:axId val="33341985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4016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0a51360-471d-4dc6-ab4b-abb6db464ff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板块分数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37</c:v>
                </c:pt>
                <c:pt idx="1">
                  <c:v>10</c:v>
                </c:pt>
                <c:pt idx="2">
                  <c:v>29</c:v>
                </c:pt>
                <c:pt idx="3">
                  <c:v>5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项目分数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31</c:v>
                </c:pt>
                <c:pt idx="1">
                  <c:v>8</c:v>
                </c:pt>
                <c:pt idx="2">
                  <c:v>21</c:v>
                </c:pt>
                <c:pt idx="3">
                  <c:v>2</c:v>
                </c:pt>
                <c:pt idx="4">
                  <c:v>19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8401690"/>
        <c:axId val="333419857"/>
      </c:barChart>
      <c:catAx>
        <c:axId val="884016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3419857"/>
        <c:crosses val="autoZero"/>
        <c:auto val="1"/>
        <c:lblAlgn val="ctr"/>
        <c:lblOffset val="100"/>
        <c:noMultiLvlLbl val="0"/>
      </c:catAx>
      <c:valAx>
        <c:axId val="33341985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4016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0a51360-471d-4dc6-ab4b-abb6db464ff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板块分数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37</c:v>
                </c:pt>
                <c:pt idx="1">
                  <c:v>10</c:v>
                </c:pt>
                <c:pt idx="2">
                  <c:v>29</c:v>
                </c:pt>
                <c:pt idx="3">
                  <c:v>5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项目分数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32</c:v>
                </c:pt>
                <c:pt idx="1">
                  <c:v>8</c:v>
                </c:pt>
                <c:pt idx="2">
                  <c:v>20</c:v>
                </c:pt>
                <c:pt idx="3">
                  <c:v>2</c:v>
                </c:pt>
                <c:pt idx="4">
                  <c:v>21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8401690"/>
        <c:axId val="333419857"/>
      </c:barChart>
      <c:catAx>
        <c:axId val="884016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3419857"/>
        <c:crosses val="autoZero"/>
        <c:auto val="1"/>
        <c:lblAlgn val="ctr"/>
        <c:lblOffset val="100"/>
        <c:noMultiLvlLbl val="0"/>
      </c:catAx>
      <c:valAx>
        <c:axId val="33341985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4016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0a51360-471d-4dc6-ab4b-abb6db464ff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板块分数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37</c:v>
                </c:pt>
                <c:pt idx="1">
                  <c:v>10</c:v>
                </c:pt>
                <c:pt idx="2">
                  <c:v>29</c:v>
                </c:pt>
                <c:pt idx="3">
                  <c:v>5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项目分数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33</c:v>
                </c:pt>
                <c:pt idx="1">
                  <c:v>9</c:v>
                </c:pt>
                <c:pt idx="2">
                  <c:v>20</c:v>
                </c:pt>
                <c:pt idx="3">
                  <c:v>3</c:v>
                </c:pt>
                <c:pt idx="4">
                  <c:v>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8401690"/>
        <c:axId val="333419857"/>
      </c:barChart>
      <c:catAx>
        <c:axId val="884016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3419857"/>
        <c:crosses val="autoZero"/>
        <c:auto val="1"/>
        <c:lblAlgn val="ctr"/>
        <c:lblOffset val="100"/>
        <c:noMultiLvlLbl val="0"/>
      </c:catAx>
      <c:valAx>
        <c:axId val="33341985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4016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0a51360-471d-4dc6-ab4b-abb6db464ff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板块分数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37</c:v>
                </c:pt>
                <c:pt idx="1">
                  <c:v>10</c:v>
                </c:pt>
                <c:pt idx="2">
                  <c:v>29</c:v>
                </c:pt>
                <c:pt idx="3">
                  <c:v>5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项目分数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32</c:v>
                </c:pt>
                <c:pt idx="1">
                  <c:v>7</c:v>
                </c:pt>
                <c:pt idx="2">
                  <c:v>24</c:v>
                </c:pt>
                <c:pt idx="3">
                  <c:v>2</c:v>
                </c:pt>
                <c:pt idx="4">
                  <c:v>22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8401690"/>
        <c:axId val="333419857"/>
      </c:barChart>
      <c:catAx>
        <c:axId val="884016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3419857"/>
        <c:crosses val="autoZero"/>
        <c:auto val="1"/>
        <c:lblAlgn val="ctr"/>
        <c:lblOffset val="100"/>
        <c:noMultiLvlLbl val="0"/>
      </c:catAx>
      <c:valAx>
        <c:axId val="33341985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4016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0a51360-471d-4dc6-ab4b-abb6db464ff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板块分数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37</c:v>
                </c:pt>
                <c:pt idx="1">
                  <c:v>10</c:v>
                </c:pt>
                <c:pt idx="2">
                  <c:v>29</c:v>
                </c:pt>
                <c:pt idx="3">
                  <c:v>5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项目分数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30</c:v>
                </c:pt>
                <c:pt idx="1">
                  <c:v>8</c:v>
                </c:pt>
                <c:pt idx="2">
                  <c:v>23</c:v>
                </c:pt>
                <c:pt idx="3">
                  <c:v>2</c:v>
                </c:pt>
                <c:pt idx="4">
                  <c:v>18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8401690"/>
        <c:axId val="333419857"/>
      </c:barChart>
      <c:catAx>
        <c:axId val="884016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3419857"/>
        <c:crosses val="autoZero"/>
        <c:auto val="1"/>
        <c:lblAlgn val="ctr"/>
        <c:lblOffset val="100"/>
        <c:noMultiLvlLbl val="0"/>
      </c:catAx>
      <c:valAx>
        <c:axId val="33341985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4016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0a51360-471d-4dc6-ab4b-abb6db464ff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板块分数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37</c:v>
                </c:pt>
                <c:pt idx="1">
                  <c:v>10</c:v>
                </c:pt>
                <c:pt idx="2">
                  <c:v>29</c:v>
                </c:pt>
                <c:pt idx="3">
                  <c:v>5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项目分数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项目实施</c:v>
                </c:pt>
                <c:pt idx="1">
                  <c:v>资源配置</c:v>
                </c:pt>
                <c:pt idx="2">
                  <c:v>项目成效</c:v>
                </c:pt>
                <c:pt idx="3">
                  <c:v>加（减）分项</c:v>
                </c:pt>
                <c:pt idx="4">
                  <c:v>财务管理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34</c:v>
                </c:pt>
                <c:pt idx="1">
                  <c:v>9</c:v>
                </c:pt>
                <c:pt idx="2">
                  <c:v>22</c:v>
                </c:pt>
                <c:pt idx="3">
                  <c:v>4</c:v>
                </c:pt>
                <c:pt idx="4">
                  <c:v>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8401690"/>
        <c:axId val="333419857"/>
      </c:barChart>
      <c:catAx>
        <c:axId val="884016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33419857"/>
        <c:crosses val="autoZero"/>
        <c:auto val="1"/>
        <c:lblAlgn val="ctr"/>
        <c:lblOffset val="100"/>
        <c:noMultiLvlLbl val="0"/>
      </c:catAx>
      <c:valAx>
        <c:axId val="33341985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4016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0a51360-471d-4dc6-ab4b-abb6db464ff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2025-06-10T02:25:00Z</dcterms:created>
  <dc:creator>葡萄呀</dc:creator>
  <cp:lastModifiedBy>葡萄呀</cp:lastModifiedBy>
  <dcterms:modified xsi:type="dcterms:W3CDTF">2025-06-10T02:27:19Z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51770BB6D7B440B1A55B06544A6BDA31_11</vt:lpwstr>
  </property>
  <property fmtid="{D5CDD505-2E9C-101B-9397-08002B2CF9AE}" pid="4" name="KSOTemplateDocerSaveRecord">
    <vt:lpwstr>eyJoZGlkIjoiZGZmYjcyNzcxNDdhYzJlNzhmMzQ3ZTE5MDFhMDA0MGYiLCJ1c2VySWQiOiI1NzU2MTIxOTQifQ==</vt:lpwstr>
  </property>
</Properties>
</file>